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7063" w:rsidRDefault="00BA7063" w:rsidP="00B90CCC">
      <w:pPr>
        <w:pStyle w:val="Styleparde9faut"/>
        <w:spacing w:line="100" w:lineRule="atLeast"/>
        <w:jc w:val="center"/>
      </w:pPr>
      <w:r>
        <w:rPr>
          <w:noProof/>
          <w:lang w:eastAsia="fr-FR" w:bidi="ar-SA"/>
        </w:rPr>
        <w:drawing>
          <wp:inline distT="0" distB="0" distL="0" distR="0">
            <wp:extent cx="4046054" cy="1321905"/>
            <wp:effectExtent l="1905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49519" cy="1323037"/>
                    </a:xfrm>
                    <a:prstGeom prst="rect">
                      <a:avLst/>
                    </a:prstGeom>
                    <a:noFill/>
                    <a:ln w="9525">
                      <a:noFill/>
                      <a:miter lim="800000"/>
                      <a:headEnd/>
                      <a:tailEnd/>
                    </a:ln>
                  </pic:spPr>
                </pic:pic>
              </a:graphicData>
            </a:graphic>
          </wp:inline>
        </w:drawing>
      </w:r>
      <w:r w:rsidR="00FC1FC2">
        <w:rPr>
          <w:noProof/>
          <w:lang w:eastAsia="fr-FR" w:bidi="ar-SA"/>
        </w:rPr>
        <w:drawing>
          <wp:inline distT="0" distB="0" distL="0" distR="0">
            <wp:extent cx="1004681" cy="1421295"/>
            <wp:effectExtent l="19050" t="0" r="4969" b="0"/>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012779" cy="1432751"/>
                    </a:xfrm>
                    <a:prstGeom prst="rect">
                      <a:avLst/>
                    </a:prstGeom>
                    <a:noFill/>
                    <a:ln w="9525">
                      <a:noFill/>
                      <a:miter lim="800000"/>
                      <a:headEnd/>
                      <a:tailEnd/>
                    </a:ln>
                  </pic:spPr>
                </pic:pic>
              </a:graphicData>
            </a:graphic>
          </wp:inline>
        </w:drawing>
      </w:r>
    </w:p>
    <w:p w:rsidR="00BA7063" w:rsidRDefault="00BA7063" w:rsidP="00BA7063">
      <w:pPr>
        <w:pStyle w:val="Styleparde9faut"/>
        <w:spacing w:line="100" w:lineRule="atLeast"/>
        <w:rPr>
          <w:rFonts w:ascii="Arial"/>
          <w:sz w:val="22"/>
        </w:rPr>
      </w:pPr>
    </w:p>
    <w:p w:rsidR="00BA7063" w:rsidRDefault="00BA7063" w:rsidP="00BA7063">
      <w:pPr>
        <w:pStyle w:val="Styleparde9faut"/>
        <w:rPr>
          <w:rFonts w:ascii="BookmanOldStyle"/>
          <w:b/>
          <w:sz w:val="16"/>
        </w:rPr>
      </w:pPr>
    </w:p>
    <w:p w:rsidR="00F226DA" w:rsidRDefault="00F226DA" w:rsidP="00BA7063">
      <w:pPr>
        <w:pStyle w:val="Styleparde9faut"/>
        <w:jc w:val="center"/>
        <w:rPr>
          <w:rFonts w:ascii="Bookman Old Style" w:eastAsia="Times New Roman" w:hAnsi="Bookman Old Style"/>
          <w:b/>
          <w:sz w:val="32"/>
        </w:rPr>
      </w:pPr>
    </w:p>
    <w:p w:rsidR="00F226DA" w:rsidRDefault="00F226DA" w:rsidP="00BA7063">
      <w:pPr>
        <w:pStyle w:val="Styleparde9faut"/>
        <w:jc w:val="center"/>
        <w:rPr>
          <w:rFonts w:ascii="Bookman Old Style" w:eastAsia="Times New Roman" w:hAnsi="Bookman Old Style"/>
          <w:b/>
          <w:sz w:val="32"/>
        </w:rPr>
      </w:pPr>
    </w:p>
    <w:p w:rsidR="00BA7063" w:rsidRDefault="00BA7063" w:rsidP="00BA7063">
      <w:pPr>
        <w:pStyle w:val="Styleparde9faut"/>
        <w:jc w:val="center"/>
        <w:rPr>
          <w:rFonts w:ascii="Bookman Old Style" w:eastAsia="Times New Roman" w:hAnsi="Bookman Old Style"/>
          <w:b/>
          <w:sz w:val="32"/>
        </w:rPr>
      </w:pPr>
      <w:r w:rsidRPr="007A4957">
        <w:rPr>
          <w:rFonts w:ascii="Bookman Old Style" w:eastAsia="Times New Roman" w:hAnsi="Bookman Old Style"/>
          <w:b/>
          <w:sz w:val="32"/>
        </w:rPr>
        <w:t>Master</w:t>
      </w:r>
      <w:r w:rsidR="00CD6C4E">
        <w:rPr>
          <w:rFonts w:ascii="Bookman Old Style" w:eastAsia="Times New Roman" w:hAnsi="Bookman Old Style"/>
          <w:b/>
          <w:sz w:val="32"/>
        </w:rPr>
        <w:t xml:space="preserve"> </w:t>
      </w:r>
      <w:r w:rsidR="003A6FFF">
        <w:rPr>
          <w:rFonts w:ascii="Bookman Old Style" w:eastAsia="Times New Roman" w:hAnsi="Bookman Old Style"/>
          <w:b/>
          <w:sz w:val="32"/>
        </w:rPr>
        <w:t>2</w:t>
      </w:r>
      <w:r w:rsidR="00CD6C4E">
        <w:rPr>
          <w:rFonts w:ascii="Bookman Old Style" w:eastAsia="Times New Roman" w:hAnsi="Bookman Old Style"/>
          <w:b/>
          <w:sz w:val="32"/>
        </w:rPr>
        <w:t xml:space="preserve"> </w:t>
      </w:r>
      <w:r w:rsidRPr="007A4957">
        <w:rPr>
          <w:rFonts w:ascii="Bookman Old Style" w:hAnsi="Bookman Old Style" w:cs="Arial"/>
          <w:b/>
          <w:sz w:val="32"/>
        </w:rPr>
        <w:t>É</w:t>
      </w:r>
      <w:r w:rsidRPr="007A4957">
        <w:rPr>
          <w:rFonts w:ascii="Bookman Old Style" w:eastAsia="Times New Roman" w:hAnsi="Bookman Old Style"/>
          <w:b/>
          <w:sz w:val="32"/>
        </w:rPr>
        <w:t>conomie du Droit</w:t>
      </w:r>
    </w:p>
    <w:p w:rsidR="00D42B55" w:rsidRDefault="003A6FFF" w:rsidP="00BA7063">
      <w:pPr>
        <w:pStyle w:val="Styleparde9faut"/>
        <w:jc w:val="center"/>
        <w:rPr>
          <w:rFonts w:ascii="Bookman Old Style" w:eastAsia="Times New Roman" w:hAnsi="Bookman Old Style"/>
          <w:b/>
          <w:sz w:val="32"/>
        </w:rPr>
      </w:pPr>
      <w:r>
        <w:rPr>
          <w:rFonts w:ascii="Bookman Old Style" w:eastAsia="Times New Roman" w:hAnsi="Bookman Old Style"/>
          <w:b/>
          <w:sz w:val="32"/>
        </w:rPr>
        <w:t>« </w:t>
      </w:r>
      <w:r w:rsidR="00D42B55">
        <w:rPr>
          <w:rFonts w:ascii="Bookman Old Style" w:eastAsia="Times New Roman" w:hAnsi="Bookman Old Style"/>
          <w:b/>
          <w:sz w:val="32"/>
        </w:rPr>
        <w:t>Analyse et impact économiques du droit</w:t>
      </w:r>
      <w:r>
        <w:rPr>
          <w:rFonts w:ascii="Bookman Old Style" w:eastAsia="Times New Roman" w:hAnsi="Bookman Old Style"/>
          <w:b/>
          <w:sz w:val="32"/>
        </w:rPr>
        <w:t> »</w:t>
      </w:r>
    </w:p>
    <w:p w:rsidR="00D42B55" w:rsidRDefault="00D42B55" w:rsidP="00BA7063">
      <w:pPr>
        <w:pStyle w:val="Styleparde9faut"/>
        <w:jc w:val="center"/>
        <w:rPr>
          <w:rFonts w:ascii="Bookman Old Style" w:hAnsi="Bookman Old Style"/>
        </w:rPr>
      </w:pPr>
    </w:p>
    <w:p w:rsidR="00CD6C4E" w:rsidRPr="007A4957" w:rsidRDefault="00CD6C4E" w:rsidP="00BA7063">
      <w:pPr>
        <w:pStyle w:val="Styleparde9faut"/>
        <w:jc w:val="center"/>
        <w:rPr>
          <w:rFonts w:ascii="Bookman Old Style" w:hAnsi="Bookman Old Style"/>
        </w:rPr>
      </w:pPr>
    </w:p>
    <w:p w:rsidR="009C571B" w:rsidRDefault="009C571B" w:rsidP="000256A8">
      <w:pPr>
        <w:adjustRightInd w:val="0"/>
        <w:jc w:val="center"/>
        <w:rPr>
          <w:rFonts w:ascii="Bookman Old Style" w:eastAsia="Times New Roman" w:hAnsi="Bookman Old Style"/>
          <w:b/>
          <w:sz w:val="32"/>
        </w:rPr>
      </w:pPr>
    </w:p>
    <w:p w:rsidR="009C571B" w:rsidRDefault="009C571B" w:rsidP="000256A8">
      <w:pPr>
        <w:adjustRightInd w:val="0"/>
        <w:jc w:val="center"/>
        <w:rPr>
          <w:rFonts w:ascii="Bookman Old Style" w:eastAsia="Times New Roman" w:hAnsi="Bookman Old Style"/>
          <w:b/>
          <w:sz w:val="32"/>
        </w:rPr>
      </w:pPr>
    </w:p>
    <w:p w:rsidR="009C571B" w:rsidRDefault="009C571B" w:rsidP="000256A8">
      <w:pPr>
        <w:adjustRightInd w:val="0"/>
        <w:jc w:val="center"/>
        <w:rPr>
          <w:rFonts w:ascii="Bookman Old Style" w:eastAsia="Times New Roman" w:hAnsi="Bookman Old Style"/>
          <w:b/>
          <w:sz w:val="32"/>
        </w:rPr>
      </w:pPr>
    </w:p>
    <w:p w:rsidR="009C571B" w:rsidRDefault="009C571B" w:rsidP="000256A8">
      <w:pPr>
        <w:adjustRightInd w:val="0"/>
        <w:jc w:val="center"/>
        <w:rPr>
          <w:rFonts w:ascii="Bookman Old Style" w:eastAsia="Times New Roman" w:hAnsi="Bookman Old Style"/>
          <w:b/>
          <w:sz w:val="32"/>
        </w:rPr>
      </w:pPr>
    </w:p>
    <w:p w:rsidR="009C571B" w:rsidRDefault="009C571B" w:rsidP="000256A8">
      <w:pPr>
        <w:adjustRightInd w:val="0"/>
        <w:jc w:val="center"/>
        <w:rPr>
          <w:rFonts w:ascii="Bookman Old Style" w:eastAsia="Times New Roman" w:hAnsi="Bookman Old Style"/>
          <w:b/>
          <w:sz w:val="32"/>
        </w:rPr>
      </w:pPr>
    </w:p>
    <w:p w:rsidR="009C571B" w:rsidRDefault="009C571B" w:rsidP="000256A8">
      <w:pPr>
        <w:adjustRightInd w:val="0"/>
        <w:jc w:val="center"/>
        <w:rPr>
          <w:rFonts w:ascii="Bookman Old Style" w:eastAsia="Times New Roman" w:hAnsi="Bookman Old Style"/>
          <w:b/>
          <w:sz w:val="32"/>
        </w:rPr>
      </w:pPr>
      <w:r>
        <w:rPr>
          <w:rFonts w:ascii="Bookman Old Style" w:eastAsia="Times New Roman" w:hAnsi="Bookman Old Style"/>
          <w:b/>
          <w:sz w:val="32"/>
        </w:rPr>
        <w:t>LIVRET DE L’ETUDIANT</w:t>
      </w:r>
    </w:p>
    <w:p w:rsidR="009C571B" w:rsidRDefault="009C571B" w:rsidP="000256A8">
      <w:pPr>
        <w:adjustRightInd w:val="0"/>
        <w:jc w:val="center"/>
        <w:rPr>
          <w:rFonts w:ascii="Bookman Old Style" w:eastAsia="Times New Roman" w:hAnsi="Bookman Old Style"/>
          <w:b/>
          <w:sz w:val="32"/>
        </w:rPr>
      </w:pPr>
    </w:p>
    <w:p w:rsidR="009C571B" w:rsidRDefault="009C571B" w:rsidP="000256A8">
      <w:pPr>
        <w:adjustRightInd w:val="0"/>
        <w:jc w:val="center"/>
        <w:rPr>
          <w:rFonts w:ascii="Bookman Old Style" w:eastAsia="Times New Roman" w:hAnsi="Bookman Old Style"/>
          <w:b/>
          <w:sz w:val="32"/>
        </w:rPr>
      </w:pPr>
    </w:p>
    <w:p w:rsidR="007C53DF" w:rsidRPr="007A4957" w:rsidRDefault="00125576" w:rsidP="000256A8">
      <w:pPr>
        <w:adjustRightInd w:val="0"/>
        <w:jc w:val="center"/>
        <w:rPr>
          <w:rFonts w:ascii="Bookman Old Style" w:eastAsia="Times New Roman" w:hAnsi="Bookman Old Style"/>
          <w:b/>
          <w:sz w:val="32"/>
        </w:rPr>
      </w:pPr>
      <w:r>
        <w:rPr>
          <w:rFonts w:ascii="Bookman Old Style" w:eastAsia="Times New Roman" w:hAnsi="Bookman Old Style"/>
          <w:b/>
          <w:sz w:val="32"/>
        </w:rPr>
        <w:t>Année universitaire 201</w:t>
      </w:r>
      <w:r w:rsidR="00402BEE">
        <w:rPr>
          <w:rFonts w:ascii="Bookman Old Style" w:eastAsia="Times New Roman" w:hAnsi="Bookman Old Style"/>
          <w:b/>
          <w:sz w:val="32"/>
        </w:rPr>
        <w:t>6</w:t>
      </w:r>
      <w:r w:rsidR="00BA7063" w:rsidRPr="007A4957">
        <w:rPr>
          <w:rFonts w:ascii="Bookman Old Style" w:eastAsia="Times New Roman" w:hAnsi="Bookman Old Style"/>
          <w:b/>
          <w:sz w:val="32"/>
        </w:rPr>
        <w:t xml:space="preserve"> – 201</w:t>
      </w:r>
      <w:r w:rsidR="00402BEE">
        <w:rPr>
          <w:rFonts w:ascii="Bookman Old Style" w:eastAsia="Times New Roman" w:hAnsi="Bookman Old Style"/>
          <w:b/>
          <w:sz w:val="32"/>
        </w:rPr>
        <w:t>7</w:t>
      </w:r>
    </w:p>
    <w:p w:rsidR="00194AD5" w:rsidRDefault="00194AD5" w:rsidP="00FC1FC2">
      <w:pPr>
        <w:jc w:val="both"/>
        <w:rPr>
          <w:rFonts w:ascii="Bookman Old Style" w:hAnsi="Bookman Old Style" w:cs="Times New Roman"/>
          <w:b/>
          <w:sz w:val="20"/>
          <w:szCs w:val="20"/>
        </w:rPr>
      </w:pPr>
    </w:p>
    <w:p w:rsidR="009C571B" w:rsidRDefault="009C571B">
      <w:pPr>
        <w:rPr>
          <w:rFonts w:ascii="Bookman Old Style" w:hAnsi="Bookman Old Style" w:cs="Times New Roman"/>
          <w:b/>
          <w:sz w:val="20"/>
          <w:szCs w:val="20"/>
        </w:rPr>
      </w:pPr>
      <w:r>
        <w:rPr>
          <w:rFonts w:ascii="Bookman Old Style" w:hAnsi="Bookman Old Style" w:cs="Times New Roman"/>
          <w:b/>
          <w:sz w:val="20"/>
          <w:szCs w:val="20"/>
        </w:rPr>
        <w:br w:type="page"/>
      </w:r>
    </w:p>
    <w:p w:rsidR="00F226DA" w:rsidRDefault="00F226DA" w:rsidP="00F226DA">
      <w:pPr>
        <w:rPr>
          <w:rFonts w:ascii="Bookman Old Style" w:hAnsi="Bookman Old Style" w:cs="Times New Roman"/>
          <w:b/>
          <w:sz w:val="20"/>
          <w:szCs w:val="20"/>
        </w:rPr>
      </w:pPr>
    </w:p>
    <w:p w:rsidR="009C571B" w:rsidRDefault="009C571B" w:rsidP="00F226DA">
      <w:pPr>
        <w:rPr>
          <w:rFonts w:ascii="Bookman Old Style" w:hAnsi="Bookman Old Style" w:cs="Times New Roman"/>
          <w:b/>
          <w:sz w:val="20"/>
          <w:szCs w:val="20"/>
        </w:rPr>
      </w:pPr>
    </w:p>
    <w:p w:rsidR="009C571B" w:rsidRDefault="009C571B" w:rsidP="00F226DA">
      <w:pPr>
        <w:rPr>
          <w:rFonts w:ascii="Bookman Old Style" w:hAnsi="Bookman Old Style" w:cs="Times New Roman"/>
          <w:b/>
          <w:sz w:val="20"/>
          <w:szCs w:val="20"/>
        </w:rPr>
      </w:pPr>
    </w:p>
    <w:p w:rsidR="009C571B" w:rsidRDefault="009C571B" w:rsidP="00F226DA">
      <w:pPr>
        <w:rPr>
          <w:rFonts w:ascii="Bookman Old Style" w:hAnsi="Bookman Old Style" w:cs="Times New Roman"/>
          <w:b/>
          <w:sz w:val="20"/>
          <w:szCs w:val="20"/>
        </w:rPr>
      </w:pPr>
    </w:p>
    <w:p w:rsidR="009C571B" w:rsidRDefault="009C571B" w:rsidP="00F226DA">
      <w:pPr>
        <w:rPr>
          <w:rFonts w:ascii="Bookman Old Style" w:hAnsi="Bookman Old Style" w:cs="Times New Roman"/>
          <w:b/>
          <w:sz w:val="20"/>
          <w:szCs w:val="20"/>
        </w:rPr>
      </w:pPr>
    </w:p>
    <w:p w:rsidR="009C571B" w:rsidRDefault="009C571B" w:rsidP="00F226DA">
      <w:pPr>
        <w:rPr>
          <w:rFonts w:ascii="Bookman Old Style" w:hAnsi="Bookman Old Style" w:cs="Times New Roman"/>
          <w:b/>
          <w:sz w:val="20"/>
          <w:szCs w:val="20"/>
        </w:rPr>
      </w:pPr>
    </w:p>
    <w:p w:rsidR="003F5323" w:rsidRPr="007A4957" w:rsidRDefault="003F5323" w:rsidP="003F5323">
      <w:pPr>
        <w:jc w:val="center"/>
        <w:rPr>
          <w:rFonts w:ascii="Bookman Old Style" w:hAnsi="Bookman Old Style" w:cs="Times New Roman"/>
          <w:sz w:val="20"/>
          <w:szCs w:val="20"/>
        </w:rPr>
      </w:pPr>
      <w:r w:rsidRPr="007A4957">
        <w:rPr>
          <w:rFonts w:ascii="Bookman Old Style" w:hAnsi="Bookman Old Style" w:cs="Times New Roman"/>
          <w:b/>
          <w:sz w:val="20"/>
          <w:szCs w:val="20"/>
        </w:rPr>
        <w:t>Responsable pédagogique :</w:t>
      </w:r>
    </w:p>
    <w:p w:rsidR="003F5323" w:rsidRPr="007A4957" w:rsidRDefault="003F5323" w:rsidP="003F5323">
      <w:pPr>
        <w:spacing w:after="0"/>
        <w:jc w:val="center"/>
        <w:rPr>
          <w:rFonts w:ascii="Bookman Old Style" w:hAnsi="Bookman Old Style" w:cs="Times New Roman"/>
          <w:sz w:val="20"/>
          <w:szCs w:val="20"/>
        </w:rPr>
      </w:pPr>
      <w:r w:rsidRPr="007A4957">
        <w:rPr>
          <w:rFonts w:ascii="Bookman Old Style" w:hAnsi="Bookman Old Style" w:cs="Times New Roman"/>
          <w:sz w:val="20"/>
          <w:szCs w:val="20"/>
        </w:rPr>
        <w:t>Eric Langlais</w:t>
      </w:r>
    </w:p>
    <w:p w:rsidR="003F5323" w:rsidRPr="007A4957" w:rsidRDefault="003F5323" w:rsidP="003F5323">
      <w:pPr>
        <w:spacing w:after="0"/>
        <w:jc w:val="center"/>
        <w:rPr>
          <w:rFonts w:ascii="Bookman Old Style" w:hAnsi="Bookman Old Style" w:cs="Times New Roman"/>
          <w:sz w:val="20"/>
          <w:szCs w:val="20"/>
        </w:rPr>
      </w:pPr>
      <w:r w:rsidRPr="007A4957">
        <w:rPr>
          <w:rFonts w:ascii="Bookman Old Style" w:eastAsia="Times New Roman" w:hAnsi="Bookman Old Style" w:cs="Times New Roman"/>
          <w:sz w:val="20"/>
          <w:szCs w:val="20"/>
        </w:rPr>
        <w:t>Université Paris Ouest Nanterre La Défense</w:t>
      </w:r>
      <w:r w:rsidRPr="007A4957">
        <w:rPr>
          <w:rFonts w:ascii="Bookman Old Style" w:hAnsi="Bookman Old Style" w:cs="Times New Roman"/>
          <w:sz w:val="20"/>
          <w:szCs w:val="20"/>
        </w:rPr>
        <w:t xml:space="preserve"> - </w:t>
      </w:r>
      <w:r w:rsidRPr="007A4957">
        <w:rPr>
          <w:rFonts w:ascii="Bookman Old Style" w:eastAsia="Times New Roman" w:hAnsi="Bookman Old Style" w:cs="Times New Roman"/>
          <w:sz w:val="20"/>
          <w:szCs w:val="20"/>
        </w:rPr>
        <w:t>UFR SEGMI</w:t>
      </w:r>
    </w:p>
    <w:p w:rsidR="003F5323" w:rsidRPr="007A4957" w:rsidRDefault="003F5323" w:rsidP="003F5323">
      <w:pPr>
        <w:pStyle w:val="Styleparde9faut"/>
        <w:jc w:val="center"/>
        <w:rPr>
          <w:rFonts w:ascii="Bookman Old Style" w:eastAsia="Times New Roman" w:hAnsi="Bookman Old Style"/>
          <w:sz w:val="20"/>
          <w:szCs w:val="20"/>
        </w:rPr>
      </w:pPr>
      <w:r w:rsidRPr="007A4957">
        <w:rPr>
          <w:rFonts w:ascii="Bookman Old Style" w:eastAsia="Times New Roman" w:hAnsi="Bookman Old Style"/>
          <w:sz w:val="20"/>
          <w:szCs w:val="20"/>
        </w:rPr>
        <w:t>Bâtiment G – Bureau 308B</w:t>
      </w:r>
    </w:p>
    <w:p w:rsidR="003F5323" w:rsidRPr="007A4957" w:rsidRDefault="003F5323" w:rsidP="003F5323">
      <w:pPr>
        <w:pStyle w:val="Styleparde9faut"/>
        <w:jc w:val="center"/>
        <w:rPr>
          <w:rFonts w:ascii="Bookman Old Style" w:hAnsi="Bookman Old Style"/>
          <w:sz w:val="20"/>
          <w:szCs w:val="20"/>
        </w:rPr>
      </w:pPr>
      <w:r w:rsidRPr="007A4957">
        <w:rPr>
          <w:rFonts w:ascii="Bookman Old Style" w:hAnsi="Bookman Old Style"/>
          <w:sz w:val="20"/>
          <w:szCs w:val="20"/>
        </w:rPr>
        <w:t>200, Avenue de la République</w:t>
      </w:r>
    </w:p>
    <w:p w:rsidR="003F5323" w:rsidRPr="007A4957" w:rsidRDefault="003F5323" w:rsidP="003F5323">
      <w:pPr>
        <w:pStyle w:val="Styleparde9faut"/>
        <w:spacing w:line="100" w:lineRule="atLeast"/>
        <w:jc w:val="center"/>
        <w:rPr>
          <w:rFonts w:ascii="Bookman Old Style" w:hAnsi="Bookman Old Style"/>
          <w:sz w:val="20"/>
          <w:szCs w:val="20"/>
        </w:rPr>
      </w:pPr>
      <w:r w:rsidRPr="007A4957">
        <w:rPr>
          <w:rFonts w:ascii="Bookman Old Style" w:hAnsi="Bookman Old Style"/>
          <w:sz w:val="20"/>
          <w:szCs w:val="20"/>
        </w:rPr>
        <w:t>92001 NANTERRE cedex</w:t>
      </w:r>
    </w:p>
    <w:p w:rsidR="003F5323" w:rsidRPr="007A4957" w:rsidRDefault="003F5323" w:rsidP="003F5323">
      <w:pPr>
        <w:pStyle w:val="Styleparde9faut"/>
        <w:spacing w:line="100" w:lineRule="atLeast"/>
        <w:jc w:val="center"/>
        <w:rPr>
          <w:rFonts w:ascii="Bookman Old Style" w:hAnsi="Bookman Old Style"/>
          <w:sz w:val="20"/>
          <w:szCs w:val="20"/>
        </w:rPr>
      </w:pPr>
    </w:p>
    <w:p w:rsidR="003F5323" w:rsidRPr="007A4957" w:rsidRDefault="003F5323" w:rsidP="003F5323">
      <w:pPr>
        <w:pStyle w:val="Styleparde9faut"/>
        <w:spacing w:line="100" w:lineRule="atLeast"/>
        <w:jc w:val="center"/>
        <w:rPr>
          <w:rFonts w:ascii="Bookman Old Style" w:hAnsi="Bookman Old Style"/>
          <w:sz w:val="20"/>
          <w:szCs w:val="20"/>
        </w:rPr>
      </w:pPr>
      <w:r w:rsidRPr="007A4957">
        <w:rPr>
          <w:rFonts w:ascii="Bookman Old Style" w:eastAsia="Times New Roman" w:hAnsi="Bookman Old Style"/>
          <w:sz w:val="20"/>
          <w:szCs w:val="20"/>
        </w:rPr>
        <w:t>Tél. : 01 40 97 59 14</w:t>
      </w:r>
    </w:p>
    <w:p w:rsidR="003F5323" w:rsidRDefault="005A4CF2" w:rsidP="003F5323">
      <w:pPr>
        <w:pStyle w:val="Styleparde9faut"/>
        <w:spacing w:line="100" w:lineRule="atLeast"/>
        <w:jc w:val="center"/>
      </w:pPr>
      <w:hyperlink r:id="rId10" w:history="1">
        <w:r w:rsidR="003F5323" w:rsidRPr="007A4957">
          <w:rPr>
            <w:rStyle w:val="Lienhypertexte"/>
            <w:rFonts w:ascii="Bookman Old Style" w:hAnsi="Bookman Old Style"/>
            <w:sz w:val="20"/>
            <w:szCs w:val="20"/>
          </w:rPr>
          <w:t>Eric.Langlais@u-paris10.fr</w:t>
        </w:r>
      </w:hyperlink>
    </w:p>
    <w:p w:rsidR="003F5323" w:rsidRPr="007A4957" w:rsidRDefault="003F5323" w:rsidP="003F5323">
      <w:pPr>
        <w:pStyle w:val="Styleparde9faut"/>
        <w:spacing w:line="100" w:lineRule="atLeast"/>
        <w:jc w:val="center"/>
        <w:rPr>
          <w:rFonts w:ascii="Bookman Old Style" w:hAnsi="Bookman Old Style"/>
          <w:sz w:val="20"/>
          <w:szCs w:val="20"/>
        </w:rPr>
      </w:pPr>
    </w:p>
    <w:p w:rsidR="00F226DA" w:rsidRDefault="00F226DA" w:rsidP="00F226DA">
      <w:pPr>
        <w:rPr>
          <w:rFonts w:ascii="Bookman Old Style" w:hAnsi="Bookman Old Style" w:cs="Times New Roman"/>
          <w:b/>
          <w:sz w:val="20"/>
          <w:szCs w:val="20"/>
        </w:rPr>
      </w:pPr>
    </w:p>
    <w:p w:rsidR="00F226DA" w:rsidRDefault="00F226DA" w:rsidP="00F226DA">
      <w:pPr>
        <w:rPr>
          <w:rFonts w:ascii="Bookman Old Style" w:hAnsi="Bookman Old Style" w:cs="Times New Roman"/>
          <w:b/>
          <w:sz w:val="20"/>
          <w:szCs w:val="20"/>
        </w:rPr>
      </w:pPr>
    </w:p>
    <w:p w:rsidR="009C571B" w:rsidRDefault="009C571B" w:rsidP="00F226DA">
      <w:pPr>
        <w:rPr>
          <w:rFonts w:ascii="Bookman Old Style" w:hAnsi="Bookman Old Style" w:cs="Times New Roman"/>
          <w:b/>
          <w:sz w:val="20"/>
          <w:szCs w:val="20"/>
        </w:rPr>
      </w:pPr>
    </w:p>
    <w:p w:rsidR="009C571B" w:rsidRDefault="009C571B" w:rsidP="00F226DA">
      <w:pPr>
        <w:rPr>
          <w:rFonts w:ascii="Bookman Old Style" w:hAnsi="Bookman Old Style" w:cs="Times New Roman"/>
          <w:b/>
          <w:sz w:val="20"/>
          <w:szCs w:val="20"/>
        </w:rPr>
      </w:pPr>
    </w:p>
    <w:p w:rsidR="006159CD" w:rsidRDefault="00F226DA" w:rsidP="003F5323">
      <w:pPr>
        <w:jc w:val="center"/>
        <w:rPr>
          <w:rFonts w:ascii="Bookman Old Style" w:hAnsi="Bookman Old Style" w:cs="Times New Roman"/>
          <w:b/>
          <w:sz w:val="20"/>
          <w:szCs w:val="20"/>
        </w:rPr>
      </w:pPr>
      <w:r w:rsidRPr="007A4957">
        <w:rPr>
          <w:rFonts w:ascii="Bookman Old Style" w:hAnsi="Bookman Old Style" w:cs="Times New Roman"/>
          <w:b/>
          <w:sz w:val="20"/>
          <w:szCs w:val="20"/>
        </w:rPr>
        <w:t>Secrétariat </w:t>
      </w:r>
      <w:r>
        <w:rPr>
          <w:rFonts w:ascii="Bookman Old Style" w:hAnsi="Bookman Old Style" w:cs="Times New Roman"/>
          <w:b/>
          <w:sz w:val="20"/>
          <w:szCs w:val="20"/>
        </w:rPr>
        <w:t xml:space="preserve">pédagogique </w:t>
      </w:r>
      <w:r w:rsidR="006159CD">
        <w:rPr>
          <w:rFonts w:ascii="Bookman Old Style" w:hAnsi="Bookman Old Style" w:cs="Times New Roman"/>
          <w:b/>
          <w:sz w:val="20"/>
          <w:szCs w:val="20"/>
        </w:rPr>
        <w:t>du Master</w:t>
      </w:r>
    </w:p>
    <w:p w:rsidR="00F226DA" w:rsidRPr="007A4957" w:rsidRDefault="006159CD" w:rsidP="003F5323">
      <w:pPr>
        <w:jc w:val="center"/>
        <w:rPr>
          <w:rFonts w:ascii="Bookman Old Style" w:hAnsi="Bookman Old Style" w:cs="Times New Roman"/>
          <w:b/>
          <w:sz w:val="20"/>
          <w:szCs w:val="20"/>
        </w:rPr>
      </w:pPr>
      <w:r>
        <w:rPr>
          <w:rFonts w:ascii="Bookman Old Style" w:hAnsi="Bookman Old Style" w:cs="Times New Roman"/>
          <w:b/>
          <w:sz w:val="20"/>
          <w:szCs w:val="20"/>
        </w:rPr>
        <w:t>(M1 + M2)</w:t>
      </w:r>
      <w:r w:rsidR="00F226DA" w:rsidRPr="007A4957">
        <w:rPr>
          <w:rFonts w:ascii="Bookman Old Style" w:hAnsi="Bookman Old Style" w:cs="Times New Roman"/>
          <w:b/>
          <w:sz w:val="20"/>
          <w:szCs w:val="20"/>
        </w:rPr>
        <w:t>:</w:t>
      </w:r>
    </w:p>
    <w:p w:rsidR="00F226DA" w:rsidRPr="007A4957" w:rsidRDefault="003A205E" w:rsidP="00F226DA">
      <w:pPr>
        <w:pStyle w:val="Styleparde9faut"/>
        <w:jc w:val="center"/>
        <w:rPr>
          <w:rFonts w:ascii="Bookman Old Style" w:hAnsi="Bookman Old Style"/>
          <w:sz w:val="20"/>
          <w:szCs w:val="20"/>
        </w:rPr>
      </w:pPr>
      <w:r>
        <w:rPr>
          <w:rFonts w:ascii="Bookman Old Style" w:eastAsia="Times New Roman" w:hAnsi="Bookman Old Style"/>
          <w:sz w:val="20"/>
          <w:szCs w:val="20"/>
        </w:rPr>
        <w:t>Baptiste</w:t>
      </w:r>
      <w:r w:rsidR="00F226DA" w:rsidRPr="007A4957">
        <w:rPr>
          <w:rFonts w:ascii="Bookman Old Style" w:eastAsia="Times New Roman" w:hAnsi="Bookman Old Style"/>
          <w:sz w:val="20"/>
          <w:szCs w:val="20"/>
        </w:rPr>
        <w:t xml:space="preserve"> </w:t>
      </w:r>
      <w:r>
        <w:rPr>
          <w:rFonts w:ascii="Bookman Old Style" w:eastAsia="Times New Roman" w:hAnsi="Bookman Old Style"/>
          <w:sz w:val="20"/>
          <w:szCs w:val="20"/>
        </w:rPr>
        <w:t>Moussette</w:t>
      </w:r>
    </w:p>
    <w:p w:rsidR="00F226DA" w:rsidRPr="007A4957" w:rsidRDefault="00F226DA" w:rsidP="00F226DA">
      <w:pPr>
        <w:spacing w:after="0"/>
        <w:jc w:val="center"/>
        <w:rPr>
          <w:rFonts w:ascii="Bookman Old Style" w:eastAsia="Times New Roman" w:hAnsi="Bookman Old Style" w:cs="Times New Roman"/>
          <w:sz w:val="20"/>
          <w:szCs w:val="20"/>
        </w:rPr>
      </w:pPr>
      <w:r w:rsidRPr="007A4957">
        <w:rPr>
          <w:rFonts w:ascii="Bookman Old Style" w:eastAsia="Times New Roman" w:hAnsi="Bookman Old Style" w:cs="Times New Roman"/>
          <w:sz w:val="20"/>
          <w:szCs w:val="20"/>
        </w:rPr>
        <w:t>Université Paris Ouest Nanterre La Défense</w:t>
      </w:r>
      <w:r w:rsidRPr="007A4957">
        <w:rPr>
          <w:rFonts w:ascii="Bookman Old Style" w:hAnsi="Bookman Old Style" w:cs="Times New Roman"/>
          <w:sz w:val="20"/>
          <w:szCs w:val="20"/>
        </w:rPr>
        <w:t xml:space="preserve"> - </w:t>
      </w:r>
      <w:r w:rsidRPr="007A4957">
        <w:rPr>
          <w:rFonts w:ascii="Bookman Old Style" w:eastAsia="Times New Roman" w:hAnsi="Bookman Old Style" w:cs="Times New Roman"/>
          <w:sz w:val="20"/>
          <w:szCs w:val="20"/>
        </w:rPr>
        <w:t>UFR SEGMI</w:t>
      </w:r>
    </w:p>
    <w:p w:rsidR="00F226DA" w:rsidRPr="007A4957" w:rsidRDefault="00F226DA" w:rsidP="00F226DA">
      <w:pPr>
        <w:spacing w:after="0" w:line="240" w:lineRule="auto"/>
        <w:jc w:val="center"/>
        <w:rPr>
          <w:rFonts w:ascii="Bookman Old Style" w:hAnsi="Bookman Old Style" w:cs="Times New Roman"/>
          <w:sz w:val="20"/>
          <w:szCs w:val="20"/>
        </w:rPr>
      </w:pPr>
      <w:r w:rsidRPr="007A4957">
        <w:rPr>
          <w:rFonts w:ascii="Bookman Old Style" w:eastAsia="Times New Roman" w:hAnsi="Bookman Old Style" w:cs="Times New Roman"/>
          <w:sz w:val="20"/>
          <w:szCs w:val="20"/>
        </w:rPr>
        <w:t>Bâtiment G – Bureau R 40.4</w:t>
      </w:r>
    </w:p>
    <w:p w:rsidR="00F226DA" w:rsidRPr="007A4957" w:rsidRDefault="00F226DA" w:rsidP="00F226DA">
      <w:pPr>
        <w:pStyle w:val="Styleparde9faut"/>
        <w:jc w:val="center"/>
        <w:rPr>
          <w:rFonts w:ascii="Bookman Old Style" w:hAnsi="Bookman Old Style"/>
          <w:sz w:val="20"/>
          <w:szCs w:val="20"/>
        </w:rPr>
      </w:pPr>
      <w:r w:rsidRPr="007A4957">
        <w:rPr>
          <w:rFonts w:ascii="Bookman Old Style" w:hAnsi="Bookman Old Style"/>
          <w:sz w:val="20"/>
          <w:szCs w:val="20"/>
        </w:rPr>
        <w:t>200, Avenue de la République</w:t>
      </w:r>
    </w:p>
    <w:p w:rsidR="00F226DA" w:rsidRPr="007A4957" w:rsidRDefault="00F226DA" w:rsidP="00F226DA">
      <w:pPr>
        <w:pStyle w:val="Styleparde9faut"/>
        <w:spacing w:line="100" w:lineRule="atLeast"/>
        <w:jc w:val="center"/>
        <w:rPr>
          <w:rFonts w:ascii="Bookman Old Style" w:hAnsi="Bookman Old Style"/>
          <w:sz w:val="20"/>
          <w:szCs w:val="20"/>
        </w:rPr>
      </w:pPr>
      <w:r w:rsidRPr="007A4957">
        <w:rPr>
          <w:rFonts w:ascii="Bookman Old Style" w:hAnsi="Bookman Old Style"/>
          <w:sz w:val="20"/>
          <w:szCs w:val="20"/>
        </w:rPr>
        <w:t>92001 NANTERRE cedex</w:t>
      </w:r>
    </w:p>
    <w:p w:rsidR="00F226DA" w:rsidRPr="007A4957" w:rsidRDefault="00F226DA" w:rsidP="00F226DA">
      <w:pPr>
        <w:pStyle w:val="Styleparde9faut"/>
        <w:spacing w:line="100" w:lineRule="atLeast"/>
        <w:jc w:val="center"/>
        <w:rPr>
          <w:rFonts w:ascii="Bookman Old Style" w:hAnsi="Bookman Old Style"/>
          <w:sz w:val="20"/>
          <w:szCs w:val="20"/>
        </w:rPr>
      </w:pPr>
    </w:p>
    <w:p w:rsidR="00F226DA" w:rsidRPr="007A4957" w:rsidRDefault="00F226DA" w:rsidP="00F226DA">
      <w:pPr>
        <w:pStyle w:val="Styleparde9faut"/>
        <w:spacing w:line="100" w:lineRule="atLeast"/>
        <w:jc w:val="center"/>
        <w:rPr>
          <w:rFonts w:ascii="Bookman Old Style" w:hAnsi="Bookman Old Style"/>
          <w:sz w:val="20"/>
          <w:szCs w:val="20"/>
        </w:rPr>
      </w:pPr>
      <w:r w:rsidRPr="007A4957">
        <w:rPr>
          <w:rFonts w:ascii="Bookman Old Style" w:eastAsia="Times New Roman" w:hAnsi="Bookman Old Style"/>
          <w:sz w:val="20"/>
          <w:szCs w:val="20"/>
        </w:rPr>
        <w:t>Tél. : 01 40 97 70 78</w:t>
      </w:r>
    </w:p>
    <w:p w:rsidR="003F5323" w:rsidRPr="00FC1FC2" w:rsidRDefault="005A4CF2" w:rsidP="00FC1FC2">
      <w:pPr>
        <w:pStyle w:val="Styleparde9faut"/>
        <w:spacing w:line="100" w:lineRule="atLeast"/>
        <w:jc w:val="center"/>
        <w:rPr>
          <w:rFonts w:ascii="Bookman Old Style" w:hAnsi="Bookman Old Style"/>
          <w:sz w:val="20"/>
          <w:szCs w:val="20"/>
        </w:rPr>
      </w:pPr>
      <w:hyperlink r:id="rId11" w:history="1">
        <w:r w:rsidR="00EF29E3">
          <w:rPr>
            <w:rFonts w:ascii="Bookman Old Style" w:hAnsi="Bookman Old Style"/>
            <w:color w:val="0000FF"/>
            <w:sz w:val="20"/>
            <w:szCs w:val="20"/>
            <w:u w:val="single"/>
          </w:rPr>
          <w:t>m</w:t>
        </w:r>
        <w:r w:rsidR="00EF5BFA">
          <w:rPr>
            <w:rFonts w:ascii="Bookman Old Style" w:hAnsi="Bookman Old Style"/>
            <w:color w:val="0000FF"/>
            <w:sz w:val="20"/>
            <w:szCs w:val="20"/>
            <w:u w:val="single"/>
          </w:rPr>
          <w:t>.baptiste</w:t>
        </w:r>
        <w:r w:rsidR="00F226DA" w:rsidRPr="007A4957">
          <w:rPr>
            <w:rFonts w:ascii="Bookman Old Style" w:hAnsi="Bookman Old Style"/>
            <w:color w:val="0000FF"/>
            <w:sz w:val="20"/>
            <w:szCs w:val="20"/>
            <w:u w:val="single"/>
          </w:rPr>
          <w:t>@u-paris10.fr</w:t>
        </w:r>
      </w:hyperlink>
      <w:r w:rsidR="003F5323">
        <w:rPr>
          <w:rFonts w:ascii="Bookman Old Style" w:hAnsi="Bookman Old Style"/>
          <w:b/>
          <w:sz w:val="20"/>
          <w:szCs w:val="20"/>
        </w:rPr>
        <w:br w:type="page"/>
      </w:r>
    </w:p>
    <w:p w:rsidR="00A24970" w:rsidRDefault="00A24970" w:rsidP="00A24970">
      <w:pPr>
        <w:spacing w:after="0" w:line="240" w:lineRule="auto"/>
        <w:jc w:val="center"/>
        <w:rPr>
          <w:rFonts w:ascii="Bookman Old Style" w:hAnsi="Bookman Old Style" w:cs="Times New Roman"/>
          <w:b/>
        </w:rPr>
      </w:pPr>
      <w:r>
        <w:rPr>
          <w:rFonts w:ascii="Bookman Old Style" w:hAnsi="Bookman Old Style" w:cs="Times New Roman"/>
          <w:b/>
        </w:rPr>
        <w:lastRenderedPageBreak/>
        <w:t>CALENDRIER 2016-2017</w:t>
      </w:r>
    </w:p>
    <w:p w:rsidR="00A24970" w:rsidRDefault="00A24970" w:rsidP="00A24970">
      <w:pPr>
        <w:spacing w:after="0" w:line="240" w:lineRule="auto"/>
        <w:jc w:val="center"/>
        <w:rPr>
          <w:rFonts w:ascii="Bookman Old Style" w:hAnsi="Bookman Old Style" w:cs="Times New Roman"/>
          <w:b/>
        </w:rPr>
      </w:pPr>
    </w:p>
    <w:p w:rsidR="00A24970" w:rsidRDefault="00A24970" w:rsidP="00A24970">
      <w:pPr>
        <w:spacing w:after="0" w:line="240" w:lineRule="auto"/>
        <w:jc w:val="center"/>
        <w:rPr>
          <w:rFonts w:ascii="Bookman Old Style" w:hAnsi="Bookman Old Style" w:cs="Times New Roman"/>
          <w:b/>
        </w:rPr>
      </w:pPr>
    </w:p>
    <w:p w:rsidR="00A24970" w:rsidRDefault="00A24970" w:rsidP="00A24970">
      <w:pPr>
        <w:spacing w:after="0" w:line="240" w:lineRule="auto"/>
        <w:jc w:val="center"/>
        <w:rPr>
          <w:rFonts w:ascii="Bookman Old Style" w:hAnsi="Bookman Old Style" w:cs="Times New Roman"/>
          <w:b/>
        </w:rPr>
      </w:pPr>
      <w:r w:rsidRPr="00A24970">
        <w:rPr>
          <w:rFonts w:ascii="Bookman Old Style" w:hAnsi="Bookman Old Style" w:cs="Times New Roman"/>
          <w:b/>
          <w:noProof/>
          <w:lang w:eastAsia="fr-FR"/>
        </w:rPr>
        <w:drawing>
          <wp:inline distT="0" distB="0" distL="0" distR="0">
            <wp:extent cx="5760720" cy="8021992"/>
            <wp:effectExtent l="0" t="0" r="0" b="0"/>
            <wp:docPr id="5" name="Image 5" descr="C:\Users\libny.e\Pictures\Calendrier m2 Ed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bny.e\Pictures\Calendrier m2 Ed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8021992"/>
                    </a:xfrm>
                    <a:prstGeom prst="rect">
                      <a:avLst/>
                    </a:prstGeom>
                    <a:noFill/>
                    <a:ln>
                      <a:noFill/>
                    </a:ln>
                  </pic:spPr>
                </pic:pic>
              </a:graphicData>
            </a:graphic>
          </wp:inline>
        </w:drawing>
      </w:r>
    </w:p>
    <w:p w:rsidR="00A24970" w:rsidRDefault="00A24970" w:rsidP="007C53DF">
      <w:pPr>
        <w:spacing w:after="0" w:line="240" w:lineRule="auto"/>
        <w:jc w:val="both"/>
        <w:rPr>
          <w:rFonts w:ascii="Bookman Old Style" w:hAnsi="Bookman Old Style" w:cs="Times New Roman"/>
          <w:b/>
        </w:rPr>
      </w:pPr>
    </w:p>
    <w:p w:rsidR="00A24970" w:rsidRDefault="00A24970" w:rsidP="007C53DF">
      <w:pPr>
        <w:spacing w:after="0" w:line="240" w:lineRule="auto"/>
        <w:jc w:val="both"/>
        <w:rPr>
          <w:rFonts w:ascii="Bookman Old Style" w:hAnsi="Bookman Old Style" w:cs="Times New Roman"/>
          <w:b/>
        </w:rPr>
      </w:pPr>
    </w:p>
    <w:p w:rsidR="001D606D" w:rsidRDefault="00D35F02" w:rsidP="007C53DF">
      <w:pPr>
        <w:spacing w:after="0" w:line="240" w:lineRule="auto"/>
        <w:jc w:val="both"/>
        <w:rPr>
          <w:rFonts w:ascii="Bookman Old Style" w:hAnsi="Bookman Old Style" w:cs="Times New Roman"/>
          <w:b/>
        </w:rPr>
      </w:pPr>
      <w:bookmarkStart w:id="0" w:name="_GoBack"/>
      <w:bookmarkEnd w:id="0"/>
      <w:r>
        <w:rPr>
          <w:rFonts w:ascii="Bookman Old Style" w:hAnsi="Bookman Old Style" w:cs="Times New Roman"/>
          <w:b/>
        </w:rPr>
        <w:lastRenderedPageBreak/>
        <w:t xml:space="preserve">1/ </w:t>
      </w:r>
      <w:r w:rsidR="001D606D">
        <w:rPr>
          <w:rFonts w:ascii="Bookman Old Style" w:hAnsi="Bookman Old Style" w:cs="Times New Roman"/>
          <w:b/>
        </w:rPr>
        <w:t>GENERALITES SUR LE DIPLOME DE MASTER (M1 + M2)</w:t>
      </w:r>
    </w:p>
    <w:p w:rsidR="001D606D" w:rsidRDefault="001D606D" w:rsidP="007C53DF">
      <w:pPr>
        <w:spacing w:after="0" w:line="240" w:lineRule="auto"/>
        <w:jc w:val="both"/>
        <w:rPr>
          <w:rFonts w:ascii="Bookman Old Style" w:hAnsi="Bookman Old Style" w:cs="Times New Roman"/>
          <w:b/>
        </w:rPr>
      </w:pPr>
    </w:p>
    <w:p w:rsidR="007C53DF" w:rsidRPr="008036A1" w:rsidRDefault="007C53DF" w:rsidP="007C53DF">
      <w:pPr>
        <w:spacing w:after="0" w:line="240" w:lineRule="auto"/>
        <w:jc w:val="both"/>
        <w:rPr>
          <w:rFonts w:ascii="Bookman Old Style" w:hAnsi="Bookman Old Style" w:cs="Times New Roman"/>
          <w:b/>
        </w:rPr>
      </w:pPr>
      <w:r w:rsidRPr="008036A1">
        <w:rPr>
          <w:rFonts w:ascii="Bookman Old Style" w:hAnsi="Bookman Old Style" w:cs="Times New Roman"/>
          <w:b/>
        </w:rPr>
        <w:t>-Durée des études :</w:t>
      </w:r>
      <w:r w:rsidRPr="008036A1">
        <w:rPr>
          <w:rFonts w:ascii="Bookman Old Style" w:hAnsi="Bookman Old Style" w:cs="Times New Roman"/>
        </w:rPr>
        <w:t xml:space="preserve"> 4 semestres</w:t>
      </w:r>
    </w:p>
    <w:p w:rsidR="007C53DF" w:rsidRPr="008036A1" w:rsidRDefault="007C53DF" w:rsidP="007C53DF">
      <w:pPr>
        <w:spacing w:after="0" w:line="240" w:lineRule="auto"/>
        <w:jc w:val="both"/>
        <w:rPr>
          <w:rFonts w:ascii="Bookman Old Style" w:hAnsi="Bookman Old Style" w:cs="Times New Roman"/>
        </w:rPr>
      </w:pPr>
      <w:r w:rsidRPr="008036A1">
        <w:rPr>
          <w:rFonts w:ascii="Bookman Old Style" w:hAnsi="Bookman Old Style" w:cs="Times New Roman"/>
          <w:b/>
        </w:rPr>
        <w:t>-Accessible en :</w:t>
      </w:r>
      <w:r w:rsidRPr="008036A1">
        <w:rPr>
          <w:rFonts w:ascii="Bookman Old Style" w:hAnsi="Bookman Old Style" w:cs="Times New Roman"/>
        </w:rPr>
        <w:t xml:space="preserve"> Formation initiale / Formation continue</w:t>
      </w:r>
    </w:p>
    <w:p w:rsidR="007C53DF" w:rsidRPr="008036A1" w:rsidRDefault="007C53DF" w:rsidP="007C53DF">
      <w:pPr>
        <w:spacing w:after="0" w:line="240" w:lineRule="auto"/>
        <w:jc w:val="both"/>
        <w:rPr>
          <w:rFonts w:ascii="Bookman Old Style" w:hAnsi="Bookman Old Style" w:cs="Times New Roman"/>
          <w:b/>
        </w:rPr>
      </w:pPr>
      <w:r w:rsidRPr="008036A1">
        <w:rPr>
          <w:rFonts w:ascii="Bookman Old Style" w:hAnsi="Bookman Old Style" w:cs="Times New Roman"/>
          <w:b/>
        </w:rPr>
        <w:t>-Mode d’enseignement :</w:t>
      </w:r>
      <w:r w:rsidR="00B24331" w:rsidRPr="008036A1">
        <w:rPr>
          <w:rFonts w:ascii="Bookman Old Style" w:hAnsi="Bookman Old Style" w:cs="Times New Roman"/>
        </w:rPr>
        <w:t xml:space="preserve"> En présent</w:t>
      </w:r>
      <w:r w:rsidRPr="008036A1">
        <w:rPr>
          <w:rFonts w:ascii="Bookman Old Style" w:hAnsi="Bookman Old Style" w:cs="Times New Roman"/>
        </w:rPr>
        <w:t xml:space="preserve">iel </w:t>
      </w:r>
    </w:p>
    <w:p w:rsidR="007C53DF" w:rsidRPr="008036A1" w:rsidRDefault="007C53DF" w:rsidP="007C53DF">
      <w:pPr>
        <w:spacing w:after="0" w:line="240" w:lineRule="auto"/>
        <w:jc w:val="both"/>
        <w:rPr>
          <w:rFonts w:ascii="Bookman Old Style" w:hAnsi="Bookman Old Style" w:cs="Times New Roman"/>
        </w:rPr>
      </w:pPr>
      <w:r w:rsidRPr="008036A1">
        <w:rPr>
          <w:rFonts w:ascii="Bookman Old Style" w:hAnsi="Bookman Old Style" w:cs="Times New Roman"/>
          <w:b/>
        </w:rPr>
        <w:t xml:space="preserve">-Site d’enseignement :  </w:t>
      </w:r>
      <w:r w:rsidRPr="008036A1">
        <w:rPr>
          <w:rFonts w:ascii="Bookman Old Style" w:hAnsi="Bookman Old Style" w:cs="Times New Roman"/>
        </w:rPr>
        <w:t xml:space="preserve">Campus de Nanterre / Bâtiment G </w:t>
      </w:r>
    </w:p>
    <w:p w:rsidR="00B03F4E" w:rsidRPr="008036A1" w:rsidRDefault="00B03F4E" w:rsidP="000256A8">
      <w:pPr>
        <w:adjustRightInd w:val="0"/>
        <w:spacing w:after="0" w:line="360" w:lineRule="auto"/>
        <w:jc w:val="both"/>
        <w:rPr>
          <w:rFonts w:ascii="Bookman Old Style" w:hAnsi="Bookman Old Style" w:cs="Times New Roman"/>
          <w:b/>
          <w:color w:val="000000"/>
        </w:rPr>
      </w:pPr>
    </w:p>
    <w:p w:rsidR="007C53DF" w:rsidRPr="00D35F02" w:rsidRDefault="007C53DF" w:rsidP="00D35F02">
      <w:pPr>
        <w:pStyle w:val="Paragraphedeliste"/>
        <w:numPr>
          <w:ilvl w:val="0"/>
          <w:numId w:val="27"/>
        </w:numPr>
        <w:adjustRightInd w:val="0"/>
        <w:spacing w:after="0" w:line="360" w:lineRule="auto"/>
        <w:jc w:val="both"/>
        <w:rPr>
          <w:rFonts w:ascii="Bookman Old Style" w:hAnsi="Bookman Old Style" w:cs="Times New Roman"/>
          <w:b/>
          <w:color w:val="000000"/>
        </w:rPr>
      </w:pPr>
      <w:r w:rsidRPr="00D35F02">
        <w:rPr>
          <w:rFonts w:ascii="Bookman Old Style" w:hAnsi="Bookman Old Style" w:cs="Times New Roman"/>
          <w:b/>
          <w:color w:val="000000"/>
        </w:rPr>
        <w:t>O</w:t>
      </w:r>
      <w:r w:rsidR="009D453C" w:rsidRPr="00D35F02">
        <w:rPr>
          <w:rFonts w:ascii="Bookman Old Style" w:hAnsi="Bookman Old Style" w:cs="Times New Roman"/>
          <w:b/>
          <w:color w:val="000000"/>
        </w:rPr>
        <w:t>B</w:t>
      </w:r>
      <w:r w:rsidRPr="00D35F02">
        <w:rPr>
          <w:rFonts w:ascii="Bookman Old Style" w:hAnsi="Bookman Old Style" w:cs="Times New Roman"/>
          <w:b/>
          <w:color w:val="000000"/>
        </w:rPr>
        <w:t>JECTIFS DE LA FORMATION :</w:t>
      </w:r>
    </w:p>
    <w:p w:rsidR="0048792D" w:rsidRDefault="00890896" w:rsidP="00B12079">
      <w:pPr>
        <w:adjustRightInd w:val="0"/>
        <w:jc w:val="both"/>
        <w:rPr>
          <w:rFonts w:ascii="Bookman Old Style" w:hAnsi="Bookman Old Style" w:cs="Times New Roman"/>
          <w:color w:val="000000"/>
        </w:rPr>
      </w:pPr>
      <w:r w:rsidRPr="008036A1">
        <w:rPr>
          <w:rFonts w:ascii="Bookman Old Style" w:hAnsi="Bookman Old Style" w:cs="Times New Roman"/>
          <w:color w:val="000000"/>
        </w:rPr>
        <w:t>L</w:t>
      </w:r>
      <w:r w:rsidR="00BA7063" w:rsidRPr="008036A1">
        <w:rPr>
          <w:rFonts w:ascii="Bookman Old Style" w:hAnsi="Bookman Old Style" w:cs="Times New Roman"/>
          <w:color w:val="000000"/>
        </w:rPr>
        <w:t>e Master</w:t>
      </w:r>
      <w:r w:rsidR="00A63D5B">
        <w:rPr>
          <w:rFonts w:ascii="Bookman Old Style" w:hAnsi="Bookman Old Style" w:cs="Times New Roman"/>
          <w:color w:val="000000"/>
        </w:rPr>
        <w:t xml:space="preserve"> mention</w:t>
      </w:r>
      <w:r w:rsidR="00BA7063" w:rsidRPr="008036A1">
        <w:rPr>
          <w:rFonts w:ascii="Bookman Old Style" w:hAnsi="Bookman Old Style" w:cs="Times New Roman"/>
          <w:color w:val="000000"/>
        </w:rPr>
        <w:t xml:space="preserve"> </w:t>
      </w:r>
      <w:r w:rsidR="00BA7063" w:rsidRPr="008036A1">
        <w:rPr>
          <w:rFonts w:ascii="Bookman Old Style" w:hAnsi="Bookman Old Style" w:cs="Times New Roman"/>
          <w:b/>
          <w:color w:val="000000"/>
        </w:rPr>
        <w:t>Economie du Droit</w:t>
      </w:r>
      <w:r w:rsidR="00BA7063" w:rsidRPr="008036A1">
        <w:rPr>
          <w:rFonts w:ascii="Bookman Old Style" w:hAnsi="Bookman Old Style" w:cs="Times New Roman"/>
          <w:color w:val="000000"/>
        </w:rPr>
        <w:t xml:space="preserve"> de Paris Ouest </w:t>
      </w:r>
      <w:r w:rsidR="00975461" w:rsidRPr="008036A1">
        <w:rPr>
          <w:rFonts w:ascii="Bookman Old Style" w:hAnsi="Bookman Old Style" w:cs="Times New Roman"/>
          <w:color w:val="000000"/>
        </w:rPr>
        <w:t xml:space="preserve">Nanterre </w:t>
      </w:r>
      <w:r w:rsidR="00FE4458" w:rsidRPr="008036A1">
        <w:rPr>
          <w:rFonts w:ascii="Bookman Old Style" w:hAnsi="Bookman Old Style" w:cs="Times New Roman"/>
          <w:color w:val="000000"/>
        </w:rPr>
        <w:t>(</w:t>
      </w:r>
      <w:r w:rsidR="00D7144A" w:rsidRPr="008036A1">
        <w:rPr>
          <w:rFonts w:ascii="Bookman Old Style" w:hAnsi="Bookman Old Style" w:cs="Times New Roman"/>
          <w:color w:val="000000"/>
        </w:rPr>
        <w:t>indifférencié R/Pro</w:t>
      </w:r>
      <w:r w:rsidR="00FE4458" w:rsidRPr="008036A1">
        <w:rPr>
          <w:rFonts w:ascii="Bookman Old Style" w:hAnsi="Bookman Old Style" w:cs="Times New Roman"/>
          <w:color w:val="000000"/>
        </w:rPr>
        <w:t>)</w:t>
      </w:r>
      <w:r w:rsidR="00D556E7" w:rsidRPr="008036A1">
        <w:rPr>
          <w:rFonts w:ascii="Bookman Old Style" w:hAnsi="Bookman Old Style" w:cs="Times New Roman"/>
          <w:color w:val="000000"/>
        </w:rPr>
        <w:t xml:space="preserve"> succède au Master </w:t>
      </w:r>
      <w:r w:rsidR="0048792D">
        <w:rPr>
          <w:rFonts w:ascii="Bookman Old Style" w:hAnsi="Bookman Old Style" w:cs="Times New Roman"/>
          <w:color w:val="000000"/>
        </w:rPr>
        <w:t xml:space="preserve">mention </w:t>
      </w:r>
      <w:r w:rsidR="00ED2C01" w:rsidRPr="008036A1">
        <w:rPr>
          <w:rFonts w:ascii="Bookman Old Style" w:hAnsi="Bookman Old Style" w:cs="Times New Roman"/>
          <w:color w:val="000000"/>
        </w:rPr>
        <w:t>« </w:t>
      </w:r>
      <w:r w:rsidR="00D556E7" w:rsidRPr="008036A1">
        <w:rPr>
          <w:rFonts w:ascii="Bookman Old Style" w:hAnsi="Bookman Old Style" w:cs="Times New Roman"/>
          <w:color w:val="000000"/>
        </w:rPr>
        <w:t>Droit et Economie</w:t>
      </w:r>
      <w:r w:rsidR="00ED2C01" w:rsidRPr="008036A1">
        <w:rPr>
          <w:rFonts w:ascii="Bookman Old Style" w:hAnsi="Bookman Old Style" w:cs="Times New Roman"/>
          <w:color w:val="000000"/>
        </w:rPr>
        <w:t> »</w:t>
      </w:r>
      <w:r w:rsidR="00D556E7" w:rsidRPr="008036A1">
        <w:rPr>
          <w:rFonts w:ascii="Bookman Old Style" w:hAnsi="Bookman Old Style" w:cs="Times New Roman"/>
          <w:color w:val="000000"/>
        </w:rPr>
        <w:t xml:space="preserve"> (évalué A+ lors de la campagne AERES 2013)</w:t>
      </w:r>
      <w:r w:rsidR="00ED2C01" w:rsidRPr="008036A1">
        <w:rPr>
          <w:rFonts w:ascii="Bookman Old Style" w:hAnsi="Bookman Old Style" w:cs="Times New Roman"/>
          <w:color w:val="000000"/>
        </w:rPr>
        <w:t xml:space="preserve"> après le changement de la nomenclature nationale des diplômes</w:t>
      </w:r>
      <w:r w:rsidR="00D556E7" w:rsidRPr="008036A1">
        <w:rPr>
          <w:rFonts w:ascii="Bookman Old Style" w:hAnsi="Bookman Old Style" w:cs="Times New Roman"/>
          <w:color w:val="000000"/>
        </w:rPr>
        <w:t xml:space="preserve">. </w:t>
      </w:r>
    </w:p>
    <w:p w:rsidR="00BA7063" w:rsidRPr="008036A1" w:rsidRDefault="00D556E7" w:rsidP="00B12079">
      <w:pPr>
        <w:adjustRightInd w:val="0"/>
        <w:jc w:val="both"/>
        <w:rPr>
          <w:rFonts w:ascii="Bookman Old Style" w:hAnsi="Bookman Old Style" w:cs="Times New Roman"/>
        </w:rPr>
      </w:pPr>
      <w:r w:rsidRPr="008036A1">
        <w:rPr>
          <w:rFonts w:ascii="Bookman Old Style" w:hAnsi="Bookman Old Style" w:cs="Times New Roman"/>
          <w:color w:val="000000"/>
        </w:rPr>
        <w:t>Ce diplôme</w:t>
      </w:r>
      <w:r w:rsidR="00D7144A" w:rsidRPr="008036A1">
        <w:rPr>
          <w:rFonts w:ascii="Bookman Old Style" w:hAnsi="Bookman Old Style" w:cs="Times New Roman"/>
          <w:color w:val="000000"/>
        </w:rPr>
        <w:t xml:space="preserve"> </w:t>
      </w:r>
      <w:r w:rsidR="00BA7063" w:rsidRPr="008036A1">
        <w:rPr>
          <w:rFonts w:ascii="Bookman Old Style" w:hAnsi="Bookman Old Style" w:cs="Times New Roman"/>
          <w:color w:val="000000"/>
        </w:rPr>
        <w:t>propose une formation fondée sur la complémentarité entre l’économie et le droit</w:t>
      </w:r>
      <w:r w:rsidR="000D6392" w:rsidRPr="008036A1">
        <w:rPr>
          <w:rFonts w:ascii="Bookman Old Style" w:hAnsi="Bookman Old Style" w:cs="Times New Roman"/>
          <w:color w:val="000000"/>
        </w:rPr>
        <w:t xml:space="preserve"> (privé, principalement)</w:t>
      </w:r>
      <w:r w:rsidR="00BA7063" w:rsidRPr="008036A1">
        <w:rPr>
          <w:rFonts w:ascii="Bookman Old Style" w:hAnsi="Bookman Old Style" w:cs="Times New Roman"/>
          <w:color w:val="000000"/>
        </w:rPr>
        <w:t>. L</w:t>
      </w:r>
      <w:r w:rsidR="00BA7063" w:rsidRPr="008036A1">
        <w:rPr>
          <w:rFonts w:ascii="Bookman Old Style" w:hAnsi="Bookman Old Style" w:cs="Times New Roman"/>
        </w:rPr>
        <w:t>a nécessité de cette double compétence s’étend aujourd’hui au-delà des domaines traditionnels de « l’économie de la concurrence</w:t>
      </w:r>
      <w:r w:rsidR="00047043" w:rsidRPr="008036A1">
        <w:rPr>
          <w:rFonts w:ascii="Bookman Old Style" w:hAnsi="Bookman Old Style" w:cs="Times New Roman"/>
        </w:rPr>
        <w:t> »</w:t>
      </w:r>
      <w:r w:rsidR="00BA7063" w:rsidRPr="008036A1">
        <w:rPr>
          <w:rFonts w:ascii="Bookman Old Style" w:hAnsi="Bookman Old Style" w:cs="Times New Roman"/>
        </w:rPr>
        <w:t xml:space="preserve"> et de </w:t>
      </w:r>
      <w:r w:rsidR="00047043" w:rsidRPr="008036A1">
        <w:rPr>
          <w:rFonts w:ascii="Bookman Old Style" w:hAnsi="Bookman Old Style" w:cs="Times New Roman"/>
        </w:rPr>
        <w:t xml:space="preserve">« l’économie de </w:t>
      </w:r>
      <w:r w:rsidR="00BA7063" w:rsidRPr="008036A1">
        <w:rPr>
          <w:rFonts w:ascii="Bookman Old Style" w:hAnsi="Bookman Old Style" w:cs="Times New Roman"/>
        </w:rPr>
        <w:t>la réglementation »</w:t>
      </w:r>
      <w:r w:rsidR="00047043" w:rsidRPr="008036A1">
        <w:rPr>
          <w:rFonts w:ascii="Bookman Old Style" w:hAnsi="Bookman Old Style" w:cs="Times New Roman"/>
        </w:rPr>
        <w:t>,</w:t>
      </w:r>
      <w:r w:rsidR="00BA7063" w:rsidRPr="008036A1">
        <w:rPr>
          <w:rFonts w:ascii="Bookman Old Style" w:hAnsi="Bookman Old Style" w:cs="Times New Roman"/>
        </w:rPr>
        <w:t xml:space="preserve"> ou du « droit économique », </w:t>
      </w:r>
      <w:r w:rsidR="00975461" w:rsidRPr="008036A1">
        <w:rPr>
          <w:rFonts w:ascii="Bookman Old Style" w:hAnsi="Bookman Old Style" w:cs="Times New Roman"/>
        </w:rPr>
        <w:t>et</w:t>
      </w:r>
      <w:r w:rsidR="00BA7063" w:rsidRPr="008036A1">
        <w:rPr>
          <w:rFonts w:ascii="Bookman Old Style" w:hAnsi="Bookman Old Style" w:cs="Times New Roman"/>
        </w:rPr>
        <w:t xml:space="preserve"> englobe des problématiques riches et variées </w:t>
      </w:r>
      <w:r w:rsidR="00CB0C04">
        <w:rPr>
          <w:rFonts w:ascii="Bookman Old Style" w:hAnsi="Bookman Old Style" w:cs="Times New Roman"/>
        </w:rPr>
        <w:t xml:space="preserve">spécifiques de l’économie du droit, </w:t>
      </w:r>
      <w:r w:rsidR="00BA7063" w:rsidRPr="008036A1">
        <w:rPr>
          <w:rFonts w:ascii="Bookman Old Style" w:hAnsi="Bookman Old Style" w:cs="Times New Roman"/>
        </w:rPr>
        <w:t>comme les analyses d’impact du droit, les études de faisabilité des réformes judiciaires, mais aussi l’évaluation du</w:t>
      </w:r>
      <w:r w:rsidR="007A3128" w:rsidRPr="008036A1">
        <w:rPr>
          <w:rFonts w:ascii="Bookman Old Style" w:hAnsi="Bookman Old Style" w:cs="Times New Roman"/>
        </w:rPr>
        <w:t xml:space="preserve"> fonctionnement de la justice</w:t>
      </w:r>
      <w:r w:rsidR="00BA7063" w:rsidRPr="008036A1">
        <w:rPr>
          <w:rFonts w:ascii="Bookman Old Style" w:hAnsi="Bookman Old Style" w:cs="Times New Roman"/>
        </w:rPr>
        <w:t xml:space="preserve">, ainsi que l’analyse comparée des systèmes juridiques. </w:t>
      </w:r>
    </w:p>
    <w:p w:rsidR="00BA7063" w:rsidRPr="008036A1" w:rsidRDefault="00BA7063" w:rsidP="00B12079">
      <w:pPr>
        <w:adjustRightInd w:val="0"/>
        <w:jc w:val="both"/>
        <w:rPr>
          <w:rFonts w:ascii="Bookman Old Style" w:hAnsi="Bookman Old Style" w:cs="Times New Roman"/>
        </w:rPr>
      </w:pPr>
      <w:r w:rsidRPr="008036A1">
        <w:rPr>
          <w:rFonts w:ascii="Bookman Old Style" w:hAnsi="Bookman Old Style" w:cs="Times New Roman"/>
          <w:b/>
        </w:rPr>
        <w:t>Le Master 1</w:t>
      </w:r>
      <w:r w:rsidRPr="008036A1">
        <w:rPr>
          <w:rFonts w:ascii="Bookman Old Style" w:hAnsi="Bookman Old Style" w:cs="Times New Roman"/>
        </w:rPr>
        <w:t xml:space="preserve"> propose un enseignement (</w:t>
      </w:r>
      <w:r w:rsidR="003A02C6" w:rsidRPr="008036A1">
        <w:rPr>
          <w:rFonts w:ascii="Bookman Old Style" w:hAnsi="Bookman Old Style" w:cs="Times New Roman"/>
        </w:rPr>
        <w:t>500</w:t>
      </w:r>
      <w:r w:rsidRPr="008036A1">
        <w:rPr>
          <w:rFonts w:ascii="Bookman Old Style" w:hAnsi="Bookman Old Style" w:cs="Times New Roman"/>
        </w:rPr>
        <w:t xml:space="preserve"> heures) intégré en économie et droit </w:t>
      </w:r>
      <w:r w:rsidR="00D02EA3" w:rsidRPr="008036A1">
        <w:rPr>
          <w:rFonts w:ascii="Bookman Old Style" w:hAnsi="Bookman Old Style" w:cs="Times New Roman"/>
        </w:rPr>
        <w:t xml:space="preserve">privé portant </w:t>
      </w:r>
      <w:r w:rsidRPr="008036A1">
        <w:rPr>
          <w:rFonts w:ascii="Bookman Old Style" w:hAnsi="Bookman Old Style" w:cs="Times New Roman"/>
        </w:rPr>
        <w:t xml:space="preserve">sur des grandes </w:t>
      </w:r>
      <w:r w:rsidR="00193033" w:rsidRPr="008036A1">
        <w:rPr>
          <w:rFonts w:ascii="Bookman Old Style" w:hAnsi="Bookman Old Style" w:cs="Times New Roman"/>
        </w:rPr>
        <w:t>problémat</w:t>
      </w:r>
      <w:r w:rsidRPr="008036A1">
        <w:rPr>
          <w:rFonts w:ascii="Bookman Old Style" w:hAnsi="Bookman Old Style" w:cs="Times New Roman"/>
        </w:rPr>
        <w:t xml:space="preserve">iques </w:t>
      </w:r>
      <w:r w:rsidR="00975461" w:rsidRPr="008036A1">
        <w:rPr>
          <w:rFonts w:ascii="Bookman Old Style" w:hAnsi="Bookman Old Style" w:cs="Times New Roman"/>
        </w:rPr>
        <w:t xml:space="preserve">(concurrence, </w:t>
      </w:r>
      <w:r w:rsidR="009C23F1">
        <w:rPr>
          <w:rFonts w:ascii="Bookman Old Style" w:hAnsi="Bookman Old Style" w:cs="Times New Roman"/>
        </w:rPr>
        <w:t xml:space="preserve">propriété intellectuelle, </w:t>
      </w:r>
      <w:r w:rsidR="00975461" w:rsidRPr="008036A1">
        <w:rPr>
          <w:rFonts w:ascii="Bookman Old Style" w:hAnsi="Bookman Old Style" w:cs="Times New Roman"/>
        </w:rPr>
        <w:t xml:space="preserve">contrats, </w:t>
      </w:r>
      <w:r w:rsidR="009C23F1">
        <w:rPr>
          <w:rFonts w:ascii="Bookman Old Style" w:hAnsi="Bookman Old Style" w:cs="Times New Roman"/>
        </w:rPr>
        <w:t xml:space="preserve">banque et finance, </w:t>
      </w:r>
      <w:r w:rsidR="00975461" w:rsidRPr="008036A1">
        <w:rPr>
          <w:rFonts w:ascii="Bookman Old Style" w:hAnsi="Bookman Old Style" w:cs="Times New Roman"/>
        </w:rPr>
        <w:t xml:space="preserve">justice) qui </w:t>
      </w:r>
      <w:r w:rsidR="00BC7245" w:rsidRPr="008036A1">
        <w:rPr>
          <w:rFonts w:ascii="Bookman Old Style" w:hAnsi="Bookman Old Style" w:cs="Times New Roman"/>
        </w:rPr>
        <w:t xml:space="preserve">sont </w:t>
      </w:r>
      <w:r w:rsidR="008743FC" w:rsidRPr="008036A1">
        <w:rPr>
          <w:rFonts w:ascii="Bookman Old Style" w:hAnsi="Bookman Old Style" w:cs="Times New Roman"/>
        </w:rPr>
        <w:t xml:space="preserve">abordées dans leurs dimensions nationale </w:t>
      </w:r>
      <w:r w:rsidR="00AA6997" w:rsidRPr="008036A1">
        <w:rPr>
          <w:rFonts w:ascii="Bookman Old Style" w:hAnsi="Bookman Old Style" w:cs="Times New Roman"/>
        </w:rPr>
        <w:t>comme</w:t>
      </w:r>
      <w:r w:rsidR="008743FC" w:rsidRPr="008036A1">
        <w:rPr>
          <w:rFonts w:ascii="Bookman Old Style" w:hAnsi="Bookman Old Style" w:cs="Times New Roman"/>
        </w:rPr>
        <w:t xml:space="preserve"> internationale</w:t>
      </w:r>
      <w:r w:rsidRPr="008036A1">
        <w:rPr>
          <w:rFonts w:ascii="Bookman Old Style" w:hAnsi="Bookman Old Style" w:cs="Times New Roman"/>
        </w:rPr>
        <w:t>, associé à un apprentissage rigoureux des méthodes en économie quantitative (évaluation des risques</w:t>
      </w:r>
      <w:r w:rsidR="00B1497D">
        <w:rPr>
          <w:rFonts w:ascii="Bookman Old Style" w:hAnsi="Bookman Old Style" w:cs="Times New Roman"/>
        </w:rPr>
        <w:t xml:space="preserve"> et des stratégies</w:t>
      </w:r>
      <w:r w:rsidRPr="008036A1">
        <w:rPr>
          <w:rFonts w:ascii="Bookman Old Style" w:hAnsi="Bookman Old Style" w:cs="Times New Roman"/>
        </w:rPr>
        <w:t xml:space="preserve">, </w:t>
      </w:r>
      <w:r w:rsidR="009D7E61">
        <w:rPr>
          <w:rFonts w:ascii="Bookman Old Style" w:hAnsi="Bookman Old Style" w:cs="Times New Roman"/>
        </w:rPr>
        <w:t xml:space="preserve">méthodes </w:t>
      </w:r>
      <w:r w:rsidRPr="008036A1">
        <w:rPr>
          <w:rFonts w:ascii="Bookman Old Style" w:hAnsi="Bookman Old Style" w:cs="Times New Roman"/>
        </w:rPr>
        <w:t>économétri</w:t>
      </w:r>
      <w:r w:rsidR="009D7E61">
        <w:rPr>
          <w:rFonts w:ascii="Bookman Old Style" w:hAnsi="Bookman Old Style" w:cs="Times New Roman"/>
        </w:rPr>
        <w:t>ques</w:t>
      </w:r>
      <w:r w:rsidRPr="008036A1">
        <w:rPr>
          <w:rFonts w:ascii="Bookman Old Style" w:hAnsi="Bookman Old Style" w:cs="Times New Roman"/>
        </w:rPr>
        <w:t>).</w:t>
      </w:r>
    </w:p>
    <w:p w:rsidR="004F63D4" w:rsidRPr="008036A1" w:rsidRDefault="00BA7063" w:rsidP="000256A8">
      <w:pPr>
        <w:adjustRightInd w:val="0"/>
        <w:jc w:val="both"/>
        <w:rPr>
          <w:rFonts w:ascii="Bookman Old Style" w:hAnsi="Bookman Old Style" w:cs="Times New Roman"/>
        </w:rPr>
      </w:pPr>
      <w:r w:rsidRPr="008036A1">
        <w:rPr>
          <w:rFonts w:ascii="Bookman Old Style" w:hAnsi="Bookman Old Style" w:cs="Times New Roman"/>
          <w:b/>
        </w:rPr>
        <w:t>Le Master 2</w:t>
      </w:r>
      <w:r w:rsidRPr="008036A1">
        <w:rPr>
          <w:rFonts w:ascii="Bookman Old Style" w:hAnsi="Bookman Old Style" w:cs="Times New Roman"/>
        </w:rPr>
        <w:t xml:space="preserve"> (3</w:t>
      </w:r>
      <w:r w:rsidR="003A02C6" w:rsidRPr="008036A1">
        <w:rPr>
          <w:rFonts w:ascii="Bookman Old Style" w:hAnsi="Bookman Old Style" w:cs="Times New Roman"/>
        </w:rPr>
        <w:t>4</w:t>
      </w:r>
      <w:r w:rsidRPr="008036A1">
        <w:rPr>
          <w:rFonts w:ascii="Bookman Old Style" w:hAnsi="Bookman Old Style" w:cs="Times New Roman"/>
        </w:rPr>
        <w:t xml:space="preserve">0 heures) </w:t>
      </w:r>
      <w:r w:rsidR="00B03F4E" w:rsidRPr="008036A1">
        <w:rPr>
          <w:rFonts w:ascii="Bookman Old Style" w:hAnsi="Bookman Old Style" w:cs="Times New Roman"/>
        </w:rPr>
        <w:t xml:space="preserve">aborde </w:t>
      </w:r>
      <w:r w:rsidR="00414610" w:rsidRPr="008036A1">
        <w:rPr>
          <w:rFonts w:ascii="Bookman Old Style" w:hAnsi="Bookman Old Style" w:cs="Times New Roman"/>
        </w:rPr>
        <w:t>l</w:t>
      </w:r>
      <w:r w:rsidR="00397CAA" w:rsidRPr="008036A1">
        <w:rPr>
          <w:rFonts w:ascii="Bookman Old Style" w:hAnsi="Bookman Old Style" w:cs="Times New Roman"/>
        </w:rPr>
        <w:t xml:space="preserve">es problématiques </w:t>
      </w:r>
      <w:r w:rsidR="00414610" w:rsidRPr="008036A1">
        <w:rPr>
          <w:rFonts w:ascii="Bookman Old Style" w:hAnsi="Bookman Old Style" w:cs="Times New Roman"/>
        </w:rPr>
        <w:t xml:space="preserve">spécifiques de l’économie du droit </w:t>
      </w:r>
      <w:r w:rsidR="00415B9C">
        <w:rPr>
          <w:rFonts w:ascii="Bookman Old Style" w:hAnsi="Bookman Old Style" w:cs="Times New Roman"/>
        </w:rPr>
        <w:t xml:space="preserve">et donne </w:t>
      </w:r>
      <w:r w:rsidR="00414610" w:rsidRPr="008036A1">
        <w:rPr>
          <w:rFonts w:ascii="Bookman Old Style" w:hAnsi="Bookman Old Style" w:cs="Times New Roman"/>
        </w:rPr>
        <w:t xml:space="preserve">la maîtrise de ses outils </w:t>
      </w:r>
      <w:r w:rsidR="00415B9C">
        <w:rPr>
          <w:rFonts w:ascii="Bookman Old Style" w:hAnsi="Bookman Old Style" w:cs="Times New Roman"/>
        </w:rPr>
        <w:t xml:space="preserve">qualitatifs et quantitatifs </w:t>
      </w:r>
      <w:r w:rsidR="00415B9C" w:rsidRPr="008036A1">
        <w:rPr>
          <w:rFonts w:ascii="Bookman Old Style" w:hAnsi="Bookman Old Style" w:cs="Times New Roman"/>
        </w:rPr>
        <w:t>(analyse comparative de la jus</w:t>
      </w:r>
      <w:r w:rsidR="00415B9C">
        <w:rPr>
          <w:rFonts w:ascii="Bookman Old Style" w:hAnsi="Bookman Old Style" w:cs="Times New Roman"/>
        </w:rPr>
        <w:t>tice et des systèmes juridiques,</w:t>
      </w:r>
      <w:r w:rsidR="00415B9C" w:rsidRPr="008036A1">
        <w:rPr>
          <w:rFonts w:ascii="Bookman Old Style" w:hAnsi="Bookman Old Style" w:cs="Times New Roman"/>
        </w:rPr>
        <w:t xml:space="preserve"> </w:t>
      </w:r>
      <w:r w:rsidR="00397CAA" w:rsidRPr="008036A1">
        <w:rPr>
          <w:rFonts w:ascii="Bookman Old Style" w:hAnsi="Bookman Old Style" w:cs="Times New Roman"/>
        </w:rPr>
        <w:t xml:space="preserve">méthodes d’évaluation et </w:t>
      </w:r>
      <w:r w:rsidR="00CB274D">
        <w:rPr>
          <w:rFonts w:ascii="Bookman Old Style" w:hAnsi="Bookman Old Style" w:cs="Times New Roman"/>
        </w:rPr>
        <w:t xml:space="preserve">d’étude </w:t>
      </w:r>
      <w:r w:rsidR="00397CAA" w:rsidRPr="008036A1">
        <w:rPr>
          <w:rFonts w:ascii="Bookman Old Style" w:hAnsi="Bookman Old Style" w:cs="Times New Roman"/>
        </w:rPr>
        <w:t>d’impact</w:t>
      </w:r>
      <w:r w:rsidR="0039773D">
        <w:rPr>
          <w:rFonts w:ascii="Bookman Old Style" w:hAnsi="Bookman Old Style" w:cs="Times New Roman"/>
        </w:rPr>
        <w:t xml:space="preserve"> du droit</w:t>
      </w:r>
      <w:r w:rsidR="00726441" w:rsidRPr="008036A1">
        <w:rPr>
          <w:rFonts w:ascii="Bookman Old Style" w:hAnsi="Bookman Old Style" w:cs="Times New Roman"/>
        </w:rPr>
        <w:t>)</w:t>
      </w:r>
      <w:r w:rsidR="00397CAA" w:rsidRPr="008036A1">
        <w:rPr>
          <w:rFonts w:ascii="Bookman Old Style" w:hAnsi="Bookman Old Style" w:cs="Times New Roman"/>
        </w:rPr>
        <w:t>,</w:t>
      </w:r>
      <w:r w:rsidR="00414610" w:rsidRPr="008036A1">
        <w:rPr>
          <w:rFonts w:ascii="Bookman Old Style" w:hAnsi="Bookman Old Style" w:cs="Times New Roman"/>
        </w:rPr>
        <w:t xml:space="preserve"> </w:t>
      </w:r>
      <w:r w:rsidR="00B03F4E" w:rsidRPr="008036A1">
        <w:rPr>
          <w:rFonts w:ascii="Bookman Old Style" w:hAnsi="Bookman Old Style" w:cs="Times New Roman"/>
        </w:rPr>
        <w:t xml:space="preserve">qui </w:t>
      </w:r>
      <w:r w:rsidR="007D2BA5" w:rsidRPr="008036A1">
        <w:rPr>
          <w:rFonts w:ascii="Bookman Old Style" w:hAnsi="Bookman Old Style" w:cs="Times New Roman"/>
        </w:rPr>
        <w:t xml:space="preserve">sont </w:t>
      </w:r>
      <w:r w:rsidR="006D7830" w:rsidRPr="008036A1">
        <w:rPr>
          <w:rFonts w:ascii="Bookman Old Style" w:hAnsi="Bookman Old Style" w:cs="Times New Roman"/>
        </w:rPr>
        <w:t>mobilisés pour</w:t>
      </w:r>
      <w:r w:rsidR="00B03F4E" w:rsidRPr="008036A1">
        <w:rPr>
          <w:rFonts w:ascii="Bookman Old Style" w:hAnsi="Bookman Old Style" w:cs="Times New Roman"/>
        </w:rPr>
        <w:t xml:space="preserve"> a</w:t>
      </w:r>
      <w:r w:rsidR="002F3EBC" w:rsidRPr="008036A1">
        <w:rPr>
          <w:rFonts w:ascii="Bookman Old Style" w:hAnsi="Bookman Old Style" w:cs="Times New Roman"/>
        </w:rPr>
        <w:t>nalys</w:t>
      </w:r>
      <w:r w:rsidR="00B03F4E" w:rsidRPr="008036A1">
        <w:rPr>
          <w:rFonts w:ascii="Bookman Old Style" w:hAnsi="Bookman Old Style" w:cs="Times New Roman"/>
        </w:rPr>
        <w:t>e</w:t>
      </w:r>
      <w:r w:rsidR="006D7830" w:rsidRPr="008036A1">
        <w:rPr>
          <w:rFonts w:ascii="Bookman Old Style" w:hAnsi="Bookman Old Style" w:cs="Times New Roman"/>
        </w:rPr>
        <w:t>r</w:t>
      </w:r>
      <w:r w:rsidR="007D2BA5" w:rsidRPr="008036A1">
        <w:rPr>
          <w:rFonts w:ascii="Bookman Old Style" w:hAnsi="Bookman Old Style" w:cs="Times New Roman"/>
        </w:rPr>
        <w:t xml:space="preserve"> </w:t>
      </w:r>
      <w:r w:rsidR="00E26280" w:rsidRPr="008036A1">
        <w:rPr>
          <w:rFonts w:ascii="Bookman Old Style" w:hAnsi="Bookman Old Style" w:cs="Times New Roman"/>
        </w:rPr>
        <w:t xml:space="preserve">différentes </w:t>
      </w:r>
      <w:r w:rsidR="003C41F9" w:rsidRPr="008036A1">
        <w:rPr>
          <w:rFonts w:ascii="Bookman Old Style" w:hAnsi="Bookman Old Style" w:cs="Times New Roman"/>
        </w:rPr>
        <w:t>dimensions de</w:t>
      </w:r>
      <w:r w:rsidR="00E26280" w:rsidRPr="008036A1">
        <w:rPr>
          <w:rFonts w:ascii="Bookman Old Style" w:hAnsi="Bookman Old Style" w:cs="Times New Roman"/>
        </w:rPr>
        <w:t xml:space="preserve"> </w:t>
      </w:r>
      <w:r w:rsidR="00B03F4E" w:rsidRPr="008036A1">
        <w:rPr>
          <w:rFonts w:ascii="Bookman Old Style" w:hAnsi="Bookman Old Style" w:cs="Times New Roman"/>
        </w:rPr>
        <w:t xml:space="preserve">la concurrence </w:t>
      </w:r>
      <w:r w:rsidR="00726441" w:rsidRPr="008036A1">
        <w:rPr>
          <w:rFonts w:ascii="Bookman Old Style" w:hAnsi="Bookman Old Style" w:cs="Times New Roman"/>
        </w:rPr>
        <w:t>(</w:t>
      </w:r>
      <w:r w:rsidR="0097396F" w:rsidRPr="008036A1">
        <w:rPr>
          <w:rFonts w:ascii="Bookman Old Style" w:hAnsi="Bookman Old Style" w:cs="Times New Roman"/>
        </w:rPr>
        <w:t>politique de la concurrence</w:t>
      </w:r>
      <w:r w:rsidRPr="008036A1">
        <w:rPr>
          <w:rFonts w:ascii="Bookman Old Style" w:hAnsi="Bookman Old Style" w:cs="Times New Roman"/>
        </w:rPr>
        <w:t xml:space="preserve">, </w:t>
      </w:r>
      <w:r w:rsidR="00397CAA" w:rsidRPr="008036A1">
        <w:rPr>
          <w:rFonts w:ascii="Bookman Old Style" w:hAnsi="Bookman Old Style" w:cs="Times New Roman"/>
        </w:rPr>
        <w:t>numérique</w:t>
      </w:r>
      <w:r w:rsidR="009C23F1">
        <w:rPr>
          <w:rFonts w:ascii="Bookman Old Style" w:hAnsi="Bookman Old Style" w:cs="Times New Roman"/>
        </w:rPr>
        <w:t xml:space="preserve"> et TIC</w:t>
      </w:r>
      <w:r w:rsidR="00715F39" w:rsidRPr="008036A1">
        <w:rPr>
          <w:rFonts w:ascii="Bookman Old Style" w:hAnsi="Bookman Old Style" w:cs="Times New Roman"/>
        </w:rPr>
        <w:t>, partenariats</w:t>
      </w:r>
      <w:r w:rsidR="003C41F9" w:rsidRPr="008036A1">
        <w:rPr>
          <w:rFonts w:ascii="Bookman Old Style" w:hAnsi="Bookman Old Style" w:cs="Times New Roman"/>
        </w:rPr>
        <w:t xml:space="preserve"> public/privé</w:t>
      </w:r>
      <w:r w:rsidR="009C23F1">
        <w:rPr>
          <w:rFonts w:ascii="Bookman Old Style" w:hAnsi="Bookman Old Style" w:cs="Times New Roman"/>
        </w:rPr>
        <w:t>, défaillance et surendettement</w:t>
      </w:r>
      <w:r w:rsidR="00397CAA" w:rsidRPr="008036A1">
        <w:rPr>
          <w:rFonts w:ascii="Bookman Old Style" w:hAnsi="Bookman Old Style" w:cs="Times New Roman"/>
        </w:rPr>
        <w:t>)</w:t>
      </w:r>
      <w:r w:rsidR="007D2BA5" w:rsidRPr="008036A1">
        <w:rPr>
          <w:rFonts w:ascii="Bookman Old Style" w:hAnsi="Bookman Old Style" w:cs="Times New Roman"/>
        </w:rPr>
        <w:t xml:space="preserve"> </w:t>
      </w:r>
      <w:r w:rsidR="006D7830" w:rsidRPr="008036A1">
        <w:rPr>
          <w:rFonts w:ascii="Bookman Old Style" w:hAnsi="Bookman Old Style" w:cs="Times New Roman"/>
        </w:rPr>
        <w:t>dans</w:t>
      </w:r>
      <w:r w:rsidR="009C07B1" w:rsidRPr="008036A1">
        <w:rPr>
          <w:rFonts w:ascii="Bookman Old Style" w:hAnsi="Bookman Old Style" w:cs="Times New Roman"/>
        </w:rPr>
        <w:t xml:space="preserve"> </w:t>
      </w:r>
      <w:r w:rsidR="007D2BA5" w:rsidRPr="008036A1">
        <w:rPr>
          <w:rFonts w:ascii="Bookman Old Style" w:hAnsi="Bookman Old Style" w:cs="Times New Roman"/>
        </w:rPr>
        <w:t>une vraie perspective bi-disciplinaire économie</w:t>
      </w:r>
      <w:r w:rsidR="009C07B1" w:rsidRPr="008036A1">
        <w:rPr>
          <w:rFonts w:ascii="Bookman Old Style" w:hAnsi="Bookman Old Style" w:cs="Times New Roman"/>
        </w:rPr>
        <w:t xml:space="preserve"> et </w:t>
      </w:r>
      <w:r w:rsidR="00673477">
        <w:rPr>
          <w:rFonts w:ascii="Bookman Old Style" w:hAnsi="Bookman Old Style" w:cs="Times New Roman"/>
        </w:rPr>
        <w:t>droit</w:t>
      </w:r>
      <w:r w:rsidRPr="008036A1">
        <w:rPr>
          <w:rFonts w:ascii="Bookman Old Style" w:hAnsi="Bookman Old Style" w:cs="Times New Roman"/>
        </w:rPr>
        <w:t xml:space="preserve">. </w:t>
      </w:r>
      <w:r w:rsidR="00C079FA">
        <w:rPr>
          <w:rFonts w:ascii="Bookman Old Style" w:hAnsi="Bookman Old Style" w:cs="Times New Roman"/>
        </w:rPr>
        <w:t xml:space="preserve">La formation est complétée par un cycle de conférences et un atelier pratique de l’expertise </w:t>
      </w:r>
      <w:r w:rsidR="006C16D1">
        <w:rPr>
          <w:rFonts w:ascii="Bookman Old Style" w:hAnsi="Bookman Old Style" w:cs="Times New Roman"/>
        </w:rPr>
        <w:t>et du conseil</w:t>
      </w:r>
      <w:r w:rsidR="008514BE">
        <w:rPr>
          <w:rFonts w:ascii="Bookman Old Style" w:hAnsi="Bookman Old Style" w:cs="Times New Roman"/>
        </w:rPr>
        <w:t>,</w:t>
      </w:r>
      <w:r w:rsidR="006C16D1">
        <w:rPr>
          <w:rFonts w:ascii="Bookman Old Style" w:hAnsi="Bookman Old Style" w:cs="Times New Roman"/>
        </w:rPr>
        <w:t xml:space="preserve"> </w:t>
      </w:r>
      <w:r w:rsidR="00C079FA">
        <w:rPr>
          <w:rFonts w:ascii="Bookman Old Style" w:hAnsi="Bookman Old Style" w:cs="Times New Roman"/>
        </w:rPr>
        <w:t>où interviennent des professionnels de différents secteurs.</w:t>
      </w:r>
    </w:p>
    <w:p w:rsidR="00D35F02" w:rsidRPr="008036A1" w:rsidRDefault="00D35F02" w:rsidP="00D35F02">
      <w:pPr>
        <w:pStyle w:val="Pieddepage"/>
        <w:tabs>
          <w:tab w:val="clear" w:pos="4536"/>
          <w:tab w:val="clear" w:pos="9072"/>
        </w:tabs>
        <w:jc w:val="both"/>
        <w:rPr>
          <w:rFonts w:ascii="Bookman Old Style" w:hAnsi="Bookman Old Style"/>
          <w:b/>
          <w:color w:val="000000"/>
          <w:u w:val="single"/>
        </w:rPr>
      </w:pPr>
      <w:r w:rsidRPr="008036A1">
        <w:rPr>
          <w:rFonts w:ascii="Bookman Old Style" w:hAnsi="Bookman Old Style"/>
          <w:b/>
          <w:color w:val="000000"/>
          <w:u w:val="single"/>
        </w:rPr>
        <w:t>Apprentissages / Compétences visées</w:t>
      </w:r>
    </w:p>
    <w:p w:rsidR="00D35F02" w:rsidRDefault="00D35F02" w:rsidP="00D35F02">
      <w:pPr>
        <w:spacing w:before="120" w:after="120"/>
        <w:jc w:val="both"/>
        <w:rPr>
          <w:rFonts w:ascii="Bookman Old Style" w:hAnsi="Bookman Old Style"/>
          <w:color w:val="000000"/>
        </w:rPr>
      </w:pPr>
      <w:r w:rsidRPr="008036A1">
        <w:rPr>
          <w:rFonts w:ascii="Bookman Old Style" w:hAnsi="Bookman Old Style"/>
          <w:color w:val="000000"/>
        </w:rPr>
        <w:t xml:space="preserve">L’objectif principal </w:t>
      </w:r>
      <w:r w:rsidR="00D95753">
        <w:rPr>
          <w:rFonts w:ascii="Bookman Old Style" w:hAnsi="Bookman Old Style"/>
          <w:color w:val="000000"/>
        </w:rPr>
        <w:t>du M</w:t>
      </w:r>
      <w:r w:rsidR="00295C14">
        <w:rPr>
          <w:rFonts w:ascii="Bookman Old Style" w:hAnsi="Bookman Old Style"/>
          <w:color w:val="000000"/>
        </w:rPr>
        <w:t>aster 2</w:t>
      </w:r>
      <w:r w:rsidRPr="008036A1">
        <w:rPr>
          <w:rFonts w:ascii="Bookman Old Style" w:hAnsi="Bookman Old Style"/>
          <w:color w:val="000000"/>
        </w:rPr>
        <w:t xml:space="preserve"> est la formation d’experts/spécialistes capables de mener des recherches théoriques </w:t>
      </w:r>
      <w:r w:rsidR="00295C14">
        <w:rPr>
          <w:rFonts w:ascii="Bookman Old Style" w:hAnsi="Bookman Old Style"/>
          <w:color w:val="000000"/>
        </w:rPr>
        <w:t>et</w:t>
      </w:r>
      <w:r w:rsidRPr="008036A1">
        <w:rPr>
          <w:rFonts w:ascii="Bookman Old Style" w:hAnsi="Bookman Old Style"/>
          <w:color w:val="000000"/>
        </w:rPr>
        <w:t xml:space="preserve"> appliquées</w:t>
      </w:r>
      <w:r w:rsidR="00295C14">
        <w:rPr>
          <w:rFonts w:ascii="Bookman Old Style" w:hAnsi="Bookman Old Style"/>
          <w:color w:val="000000"/>
        </w:rPr>
        <w:t>, ou de conduire des expertises</w:t>
      </w:r>
      <w:r w:rsidRPr="008036A1">
        <w:rPr>
          <w:rFonts w:ascii="Bookman Old Style" w:hAnsi="Bookman Old Style"/>
          <w:color w:val="000000"/>
        </w:rPr>
        <w:t xml:space="preserve"> sur les problématiques de l’économie du droit, à la frontière des deux disciplines, le droit et l’économie. Les étudiants acquièrent donc pendant la durée du parcours des compétences avancées dans les deux disciplines, mais aussi en économie du droit et en droit comparé. Un accent est aussi mis sur les méthodes quantitatives, de plus en plus mobilisées pour analyser le droit et les institutions et évaluer leurs </w:t>
      </w:r>
      <w:r w:rsidRPr="008036A1">
        <w:rPr>
          <w:rFonts w:ascii="Bookman Old Style" w:hAnsi="Bookman Old Style"/>
          <w:color w:val="000000"/>
        </w:rPr>
        <w:lastRenderedPageBreak/>
        <w:t>effets. La capacité de travail en équipe est également cultivée en les mobilisant sur des projets collectifs de recherche.</w:t>
      </w:r>
    </w:p>
    <w:p w:rsidR="00D35F02" w:rsidRPr="008036A1" w:rsidRDefault="00D35F02" w:rsidP="00D35F02">
      <w:pPr>
        <w:jc w:val="both"/>
        <w:rPr>
          <w:rFonts w:ascii="Bookman Old Style" w:hAnsi="Bookman Old Style"/>
          <w:color w:val="000000"/>
        </w:rPr>
      </w:pPr>
      <w:r w:rsidRPr="008036A1">
        <w:rPr>
          <w:rFonts w:ascii="Bookman Old Style" w:hAnsi="Bookman Old Style"/>
          <w:color w:val="000000"/>
        </w:rPr>
        <w:t>Les compétences à acquérir au titre</w:t>
      </w:r>
      <w:r w:rsidR="00E44FBA">
        <w:rPr>
          <w:rFonts w:ascii="Bookman Old Style" w:hAnsi="Bookman Old Style"/>
          <w:color w:val="000000"/>
        </w:rPr>
        <w:t xml:space="preserve"> de la formation à la recherche</w:t>
      </w:r>
      <w:r w:rsidRPr="008036A1">
        <w:rPr>
          <w:rFonts w:ascii="Bookman Old Style" w:hAnsi="Bookman Old Style"/>
          <w:color w:val="000000"/>
        </w:rPr>
        <w:t xml:space="preserve"> s’appuieront sur :</w:t>
      </w:r>
    </w:p>
    <w:p w:rsidR="00D35F02" w:rsidRPr="00FB62F2" w:rsidRDefault="00D35F02" w:rsidP="00FB62F2">
      <w:pPr>
        <w:pStyle w:val="Paragraphedeliste"/>
        <w:numPr>
          <w:ilvl w:val="0"/>
          <w:numId w:val="28"/>
        </w:numPr>
        <w:jc w:val="both"/>
        <w:rPr>
          <w:rFonts w:ascii="Bookman Old Style" w:hAnsi="Bookman Old Style"/>
          <w:color w:val="000000"/>
        </w:rPr>
      </w:pPr>
      <w:r w:rsidRPr="00FB62F2">
        <w:rPr>
          <w:rFonts w:ascii="Bookman Old Style" w:hAnsi="Bookman Old Style"/>
          <w:color w:val="000000"/>
        </w:rPr>
        <w:t>la participation aux sémi</w:t>
      </w:r>
      <w:r w:rsidR="00E44FBA" w:rsidRPr="00FB62F2">
        <w:rPr>
          <w:rFonts w:ascii="Bookman Old Style" w:hAnsi="Bookman Old Style"/>
          <w:color w:val="000000"/>
        </w:rPr>
        <w:t>naires et conférences organisés par l</w:t>
      </w:r>
      <w:r w:rsidR="00FB62F2">
        <w:rPr>
          <w:rFonts w:ascii="Bookman Old Style" w:hAnsi="Bookman Old Style"/>
          <w:color w:val="000000"/>
        </w:rPr>
        <w:t>’ax</w:t>
      </w:r>
      <w:r w:rsidR="00E44FBA" w:rsidRPr="00FB62F2">
        <w:rPr>
          <w:rFonts w:ascii="Bookman Old Style" w:hAnsi="Bookman Old Style"/>
          <w:color w:val="000000"/>
        </w:rPr>
        <w:t xml:space="preserve">e </w:t>
      </w:r>
      <w:r w:rsidRPr="00FB62F2">
        <w:rPr>
          <w:rFonts w:ascii="Bookman Old Style" w:hAnsi="Bookman Old Style"/>
          <w:color w:val="000000"/>
        </w:rPr>
        <w:t>de recherche</w:t>
      </w:r>
      <w:r w:rsidR="00FB62F2">
        <w:rPr>
          <w:rFonts w:ascii="Bookman Old Style" w:hAnsi="Bookman Old Style"/>
          <w:color w:val="000000"/>
        </w:rPr>
        <w:t>s en économie du droit</w:t>
      </w:r>
      <w:r w:rsidRPr="00FB62F2">
        <w:rPr>
          <w:rFonts w:ascii="Bookman Old Style" w:hAnsi="Bookman Old Style"/>
          <w:color w:val="000000"/>
        </w:rPr>
        <w:t xml:space="preserve"> </w:t>
      </w:r>
      <w:r w:rsidR="00FB62F2">
        <w:rPr>
          <w:rFonts w:ascii="Bookman Old Style" w:hAnsi="Bookman Old Style"/>
          <w:color w:val="000000"/>
        </w:rPr>
        <w:t>DIR-</w:t>
      </w:r>
      <w:r w:rsidRPr="00FB62F2">
        <w:rPr>
          <w:rFonts w:ascii="Bookman Old Style" w:hAnsi="Bookman Old Style"/>
          <w:color w:val="000000"/>
        </w:rPr>
        <w:t xml:space="preserve">EconomiX (intervention/participation de chercheurs reconnus au plan international) de manière à favoriser l’insertion des étudiants de M2 dans </w:t>
      </w:r>
      <w:r w:rsidR="00FB62F2" w:rsidRPr="00FB62F2">
        <w:rPr>
          <w:rFonts w:ascii="Bookman Old Style" w:hAnsi="Bookman Old Style"/>
          <w:color w:val="000000"/>
        </w:rPr>
        <w:t>une dynamique</w:t>
      </w:r>
      <w:r w:rsidRPr="00FB62F2">
        <w:rPr>
          <w:rFonts w:ascii="Bookman Old Style" w:hAnsi="Bookman Old Style"/>
          <w:color w:val="000000"/>
        </w:rPr>
        <w:t xml:space="preserve"> de recherche.</w:t>
      </w:r>
    </w:p>
    <w:p w:rsidR="00FB62F2" w:rsidRDefault="00FB62F2" w:rsidP="00D35F02">
      <w:pPr>
        <w:pStyle w:val="Paragraphedeliste"/>
        <w:numPr>
          <w:ilvl w:val="0"/>
          <w:numId w:val="28"/>
        </w:numPr>
        <w:jc w:val="both"/>
        <w:rPr>
          <w:rFonts w:ascii="Bookman Old Style" w:hAnsi="Bookman Old Style"/>
          <w:color w:val="000000"/>
        </w:rPr>
      </w:pPr>
      <w:r>
        <w:rPr>
          <w:rFonts w:ascii="Bookman Old Style" w:hAnsi="Bookman Old Style"/>
          <w:color w:val="000000"/>
        </w:rPr>
        <w:t>l’animation par des professionnels d’un atelier pratique de l’expertise et du conseil, où les étudiants pourront directement être confrontés à des cas pratiques.</w:t>
      </w:r>
    </w:p>
    <w:p w:rsidR="00D35F02" w:rsidRPr="00FB62F2" w:rsidRDefault="00D35F02" w:rsidP="00D35F02">
      <w:pPr>
        <w:pStyle w:val="Paragraphedeliste"/>
        <w:numPr>
          <w:ilvl w:val="0"/>
          <w:numId w:val="28"/>
        </w:numPr>
        <w:jc w:val="both"/>
        <w:rPr>
          <w:rFonts w:ascii="Bookman Old Style" w:hAnsi="Bookman Old Style"/>
          <w:color w:val="000000"/>
        </w:rPr>
      </w:pPr>
      <w:r w:rsidRPr="00FB62F2">
        <w:rPr>
          <w:rFonts w:ascii="Bookman Old Style" w:hAnsi="Bookman Old Style"/>
          <w:color w:val="000000"/>
        </w:rPr>
        <w:t>une incitation à intégrer les mémoires réalisés par les étudiants dans les projets de recherche colle</w:t>
      </w:r>
      <w:r w:rsidR="00E44FBA" w:rsidRPr="00FB62F2">
        <w:rPr>
          <w:rFonts w:ascii="Bookman Old Style" w:hAnsi="Bookman Old Style"/>
          <w:color w:val="000000"/>
        </w:rPr>
        <w:t>ctifs menés par l</w:t>
      </w:r>
      <w:r w:rsidR="00FB62F2">
        <w:rPr>
          <w:rFonts w:ascii="Bookman Old Style" w:hAnsi="Bookman Old Style"/>
          <w:color w:val="000000"/>
        </w:rPr>
        <w:t>’ax</w:t>
      </w:r>
      <w:r w:rsidR="00E44FBA" w:rsidRPr="00FB62F2">
        <w:rPr>
          <w:rFonts w:ascii="Bookman Old Style" w:hAnsi="Bookman Old Style"/>
          <w:color w:val="000000"/>
        </w:rPr>
        <w:t>e</w:t>
      </w:r>
      <w:r w:rsidR="00FB62F2">
        <w:rPr>
          <w:rFonts w:ascii="Bookman Old Style" w:hAnsi="Bookman Old Style"/>
          <w:color w:val="000000"/>
        </w:rPr>
        <w:t xml:space="preserve"> </w:t>
      </w:r>
      <w:r w:rsidRPr="00FB62F2">
        <w:rPr>
          <w:rFonts w:ascii="Bookman Old Style" w:hAnsi="Bookman Old Style"/>
          <w:color w:val="000000"/>
        </w:rPr>
        <w:t>de recherche</w:t>
      </w:r>
      <w:r w:rsidR="00FB62F2">
        <w:rPr>
          <w:rFonts w:ascii="Bookman Old Style" w:hAnsi="Bookman Old Style"/>
          <w:color w:val="000000"/>
        </w:rPr>
        <w:t>s</w:t>
      </w:r>
      <w:r w:rsidRPr="00FB62F2">
        <w:rPr>
          <w:rFonts w:ascii="Bookman Old Style" w:hAnsi="Bookman Old Style"/>
          <w:color w:val="000000"/>
        </w:rPr>
        <w:t xml:space="preserve"> </w:t>
      </w:r>
      <w:r w:rsidR="00FB62F2">
        <w:rPr>
          <w:rFonts w:ascii="Bookman Old Style" w:hAnsi="Bookman Old Style"/>
          <w:color w:val="000000"/>
        </w:rPr>
        <w:t>DIR-EconomiX</w:t>
      </w:r>
      <w:r w:rsidRPr="00FB62F2">
        <w:rPr>
          <w:rFonts w:ascii="Bookman Old Style" w:hAnsi="Bookman Old Style"/>
          <w:color w:val="000000"/>
        </w:rPr>
        <w:t xml:space="preserve">. </w:t>
      </w:r>
    </w:p>
    <w:p w:rsidR="00D35F02" w:rsidRPr="008036A1" w:rsidRDefault="00D35F02" w:rsidP="000256A8">
      <w:pPr>
        <w:adjustRightInd w:val="0"/>
        <w:jc w:val="both"/>
        <w:rPr>
          <w:rFonts w:ascii="Bookman Old Style" w:hAnsi="Bookman Old Style" w:cs="Times New Roman"/>
        </w:rPr>
      </w:pPr>
    </w:p>
    <w:p w:rsidR="00B12079" w:rsidRPr="008036A1" w:rsidRDefault="00B12079" w:rsidP="00D35F02">
      <w:pPr>
        <w:pStyle w:val="Styleparde9faut"/>
        <w:numPr>
          <w:ilvl w:val="0"/>
          <w:numId w:val="27"/>
        </w:numPr>
        <w:spacing w:line="360" w:lineRule="auto"/>
        <w:jc w:val="both"/>
        <w:rPr>
          <w:rFonts w:ascii="Bookman Old Style" w:hAnsi="Bookman Old Style"/>
          <w:sz w:val="22"/>
          <w:szCs w:val="22"/>
        </w:rPr>
      </w:pPr>
      <w:r w:rsidRPr="008036A1">
        <w:rPr>
          <w:rFonts w:ascii="Bookman Old Style" w:eastAsia="Times New Roman" w:hAnsi="Bookman Old Style"/>
          <w:b/>
          <w:color w:val="000000"/>
          <w:sz w:val="22"/>
          <w:szCs w:val="22"/>
        </w:rPr>
        <w:t>CONDITIONS D'ADMISSION</w:t>
      </w:r>
      <w:r w:rsidR="007C53DF" w:rsidRPr="008036A1">
        <w:rPr>
          <w:rFonts w:ascii="Bookman Old Style" w:eastAsia="Times New Roman" w:hAnsi="Bookman Old Style"/>
          <w:b/>
          <w:color w:val="000000"/>
          <w:sz w:val="22"/>
          <w:szCs w:val="22"/>
        </w:rPr>
        <w:t> :</w:t>
      </w:r>
    </w:p>
    <w:p w:rsidR="00890896" w:rsidRPr="008036A1" w:rsidRDefault="00890896" w:rsidP="0071470B">
      <w:pPr>
        <w:pStyle w:val="Styleparde9faut"/>
        <w:spacing w:after="240"/>
        <w:jc w:val="both"/>
        <w:rPr>
          <w:rFonts w:ascii="Bookman Old Style" w:hAnsi="Bookman Old Style"/>
          <w:color w:val="000000"/>
          <w:sz w:val="22"/>
          <w:szCs w:val="22"/>
        </w:rPr>
      </w:pPr>
      <w:r w:rsidRPr="008036A1">
        <w:rPr>
          <w:rFonts w:ascii="Bookman Old Style" w:hAnsi="Bookman Old Style"/>
          <w:b/>
          <w:i/>
          <w:color w:val="000000"/>
          <w:sz w:val="22"/>
          <w:szCs w:val="22"/>
        </w:rPr>
        <w:t>Niveau M1 :</w:t>
      </w:r>
      <w:r w:rsidRPr="008036A1">
        <w:rPr>
          <w:rFonts w:ascii="Bookman Old Style" w:hAnsi="Bookman Old Style"/>
          <w:color w:val="000000"/>
          <w:sz w:val="22"/>
          <w:szCs w:val="22"/>
        </w:rPr>
        <w:t xml:space="preserve"> Les candidats titulaires de l’un de ces diplômes de licence délivrés par l’université Paris Ouest Nanterre sont de droit admis dans le M1 mention Economie du Droit : titulaire</w:t>
      </w:r>
      <w:r w:rsidR="005C475D" w:rsidRPr="008036A1">
        <w:rPr>
          <w:rFonts w:ascii="Bookman Old Style" w:hAnsi="Bookman Old Style"/>
          <w:color w:val="000000"/>
          <w:sz w:val="22"/>
          <w:szCs w:val="22"/>
        </w:rPr>
        <w:t>s</w:t>
      </w:r>
      <w:r w:rsidR="00353CD1" w:rsidRPr="008036A1">
        <w:rPr>
          <w:rFonts w:ascii="Bookman Old Style" w:hAnsi="Bookman Old Style"/>
          <w:color w:val="000000"/>
          <w:sz w:val="22"/>
          <w:szCs w:val="22"/>
        </w:rPr>
        <w:t xml:space="preserve"> d</w:t>
      </w:r>
      <w:r w:rsidRPr="008036A1">
        <w:rPr>
          <w:rFonts w:ascii="Bookman Old Style" w:hAnsi="Bookman Old Style"/>
          <w:color w:val="000000"/>
          <w:sz w:val="22"/>
          <w:szCs w:val="22"/>
        </w:rPr>
        <w:t xml:space="preserve">e </w:t>
      </w:r>
      <w:r w:rsidR="00353CD1" w:rsidRPr="008036A1">
        <w:rPr>
          <w:rFonts w:ascii="Bookman Old Style" w:hAnsi="Bookman Old Style"/>
          <w:color w:val="000000"/>
          <w:sz w:val="22"/>
          <w:szCs w:val="22"/>
        </w:rPr>
        <w:t xml:space="preserve">la </w:t>
      </w:r>
      <w:r w:rsidRPr="008036A1">
        <w:rPr>
          <w:rFonts w:ascii="Bookman Old Style" w:hAnsi="Bookman Old Style"/>
          <w:color w:val="000000"/>
          <w:sz w:val="22"/>
          <w:szCs w:val="22"/>
        </w:rPr>
        <w:t>licence mention droit-économie, ou d</w:t>
      </w:r>
      <w:r w:rsidR="00353CD1" w:rsidRPr="008036A1">
        <w:rPr>
          <w:rFonts w:ascii="Bookman Old Style" w:hAnsi="Bookman Old Style"/>
          <w:color w:val="000000"/>
          <w:sz w:val="22"/>
          <w:szCs w:val="22"/>
        </w:rPr>
        <w:t>e la</w:t>
      </w:r>
      <w:r w:rsidRPr="008036A1">
        <w:rPr>
          <w:rFonts w:ascii="Bookman Old Style" w:hAnsi="Bookman Old Style"/>
          <w:color w:val="000000"/>
          <w:sz w:val="22"/>
          <w:szCs w:val="22"/>
        </w:rPr>
        <w:t xml:space="preserve"> licence </w:t>
      </w:r>
      <w:r w:rsidR="00353CD1" w:rsidRPr="008036A1">
        <w:rPr>
          <w:rFonts w:ascii="Bookman Old Style" w:hAnsi="Bookman Old Style"/>
          <w:color w:val="000000"/>
          <w:sz w:val="22"/>
          <w:szCs w:val="22"/>
        </w:rPr>
        <w:t>d’économie parcours droit, ou d</w:t>
      </w:r>
      <w:r w:rsidRPr="008036A1">
        <w:rPr>
          <w:rFonts w:ascii="Bookman Old Style" w:hAnsi="Bookman Old Style"/>
          <w:color w:val="000000"/>
          <w:sz w:val="22"/>
          <w:szCs w:val="22"/>
        </w:rPr>
        <w:t xml:space="preserve">e </w:t>
      </w:r>
      <w:r w:rsidR="00353CD1" w:rsidRPr="008036A1">
        <w:rPr>
          <w:rFonts w:ascii="Bookman Old Style" w:hAnsi="Bookman Old Style"/>
          <w:color w:val="000000"/>
          <w:sz w:val="22"/>
          <w:szCs w:val="22"/>
        </w:rPr>
        <w:t xml:space="preserve">la </w:t>
      </w:r>
      <w:r w:rsidRPr="008036A1">
        <w:rPr>
          <w:rFonts w:ascii="Bookman Old Style" w:hAnsi="Bookman Old Style"/>
          <w:color w:val="000000"/>
          <w:sz w:val="22"/>
          <w:szCs w:val="22"/>
        </w:rPr>
        <w:t xml:space="preserve">licence droit parcours économie, ou de la double licence économie-droit. </w:t>
      </w:r>
      <w:r w:rsidR="005C475D" w:rsidRPr="008036A1">
        <w:rPr>
          <w:rFonts w:ascii="Bookman Old Style" w:hAnsi="Bookman Old Style"/>
          <w:color w:val="000000"/>
          <w:sz w:val="22"/>
          <w:szCs w:val="22"/>
        </w:rPr>
        <w:t>Les dossiers de candidature des titulaires d’une autre mention de licence</w:t>
      </w:r>
      <w:r w:rsidR="0074322C" w:rsidRPr="008036A1">
        <w:rPr>
          <w:rFonts w:ascii="Bookman Old Style" w:hAnsi="Bookman Old Style"/>
          <w:color w:val="000000"/>
          <w:sz w:val="22"/>
          <w:szCs w:val="22"/>
        </w:rPr>
        <w:t xml:space="preserve"> </w:t>
      </w:r>
      <w:r w:rsidR="006853A9" w:rsidRPr="008036A1">
        <w:rPr>
          <w:rFonts w:ascii="Bookman Old Style" w:hAnsi="Bookman Old Style"/>
          <w:color w:val="000000"/>
          <w:sz w:val="22"/>
          <w:szCs w:val="22"/>
        </w:rPr>
        <w:t xml:space="preserve">et/ou d’une autre université </w:t>
      </w:r>
      <w:r w:rsidR="0074322C" w:rsidRPr="008036A1">
        <w:rPr>
          <w:rFonts w:ascii="Bookman Old Style" w:hAnsi="Bookman Old Style"/>
          <w:color w:val="000000"/>
          <w:sz w:val="22"/>
          <w:szCs w:val="22"/>
        </w:rPr>
        <w:t>sont examiné</w:t>
      </w:r>
      <w:r w:rsidR="005C475D" w:rsidRPr="008036A1">
        <w:rPr>
          <w:rFonts w:ascii="Bookman Old Style" w:hAnsi="Bookman Old Style"/>
          <w:color w:val="000000"/>
          <w:sz w:val="22"/>
          <w:szCs w:val="22"/>
        </w:rPr>
        <w:t>s par une commission pédagogique</w:t>
      </w:r>
      <w:r w:rsidR="00E7071D" w:rsidRPr="008036A1">
        <w:rPr>
          <w:rFonts w:ascii="Bookman Old Style" w:hAnsi="Bookman Old Style"/>
          <w:color w:val="000000"/>
          <w:sz w:val="22"/>
          <w:szCs w:val="22"/>
        </w:rPr>
        <w:t xml:space="preserve"> qui se prononce sur leur admission dans le master 1</w:t>
      </w:r>
      <w:r w:rsidR="005C475D" w:rsidRPr="008036A1">
        <w:rPr>
          <w:rFonts w:ascii="Bookman Old Style" w:hAnsi="Bookman Old Style"/>
          <w:color w:val="000000"/>
          <w:sz w:val="22"/>
          <w:szCs w:val="22"/>
        </w:rPr>
        <w:t>.</w:t>
      </w:r>
    </w:p>
    <w:p w:rsidR="00B12079" w:rsidRDefault="00890896" w:rsidP="0071470B">
      <w:pPr>
        <w:pStyle w:val="Styleparde9faut"/>
        <w:spacing w:after="240"/>
        <w:jc w:val="both"/>
        <w:rPr>
          <w:rFonts w:ascii="Bookman Old Style" w:hAnsi="Bookman Old Style"/>
          <w:color w:val="000000"/>
          <w:sz w:val="22"/>
          <w:szCs w:val="22"/>
        </w:rPr>
      </w:pPr>
      <w:r w:rsidRPr="008036A1">
        <w:rPr>
          <w:rFonts w:ascii="Bookman Old Style" w:eastAsia="Times New Roman" w:hAnsi="Bookman Old Style"/>
          <w:b/>
          <w:i/>
          <w:color w:val="000000"/>
          <w:sz w:val="22"/>
          <w:szCs w:val="22"/>
        </w:rPr>
        <w:t>Niveau M2 :</w:t>
      </w:r>
      <w:r w:rsidRPr="008036A1">
        <w:rPr>
          <w:rFonts w:ascii="Bookman Old Style" w:eastAsia="Times New Roman" w:hAnsi="Bookman Old Style"/>
          <w:color w:val="000000"/>
          <w:sz w:val="22"/>
          <w:szCs w:val="22"/>
        </w:rPr>
        <w:t xml:space="preserve"> </w:t>
      </w:r>
      <w:r w:rsidR="00B12079" w:rsidRPr="008036A1">
        <w:rPr>
          <w:rFonts w:ascii="Bookman Old Style" w:eastAsia="Times New Roman" w:hAnsi="Bookman Old Style"/>
          <w:color w:val="000000"/>
          <w:sz w:val="22"/>
          <w:szCs w:val="22"/>
        </w:rPr>
        <w:t>Le</w:t>
      </w:r>
      <w:r w:rsidR="007B68E7" w:rsidRPr="008036A1">
        <w:rPr>
          <w:rFonts w:ascii="Bookman Old Style" w:eastAsia="Times New Roman" w:hAnsi="Bookman Old Style"/>
          <w:color w:val="000000"/>
          <w:sz w:val="22"/>
          <w:szCs w:val="22"/>
        </w:rPr>
        <w:t>s</w:t>
      </w:r>
      <w:r w:rsidR="00B12079" w:rsidRPr="008036A1">
        <w:rPr>
          <w:rFonts w:ascii="Bookman Old Style" w:eastAsia="Times New Roman" w:hAnsi="Bookman Old Style"/>
          <w:color w:val="000000"/>
          <w:sz w:val="22"/>
          <w:szCs w:val="22"/>
        </w:rPr>
        <w:t xml:space="preserve"> candidat</w:t>
      </w:r>
      <w:r w:rsidR="007B68E7" w:rsidRPr="008036A1">
        <w:rPr>
          <w:rFonts w:ascii="Bookman Old Style" w:eastAsia="Times New Roman" w:hAnsi="Bookman Old Style"/>
          <w:color w:val="000000"/>
          <w:sz w:val="22"/>
          <w:szCs w:val="22"/>
        </w:rPr>
        <w:t>s</w:t>
      </w:r>
      <w:r w:rsidR="00B12079" w:rsidRPr="008036A1">
        <w:rPr>
          <w:rFonts w:ascii="Bookman Old Style" w:eastAsia="Times New Roman" w:hAnsi="Bookman Old Style"/>
          <w:color w:val="000000"/>
          <w:sz w:val="22"/>
          <w:szCs w:val="22"/>
        </w:rPr>
        <w:t xml:space="preserve"> doi</w:t>
      </w:r>
      <w:r w:rsidR="007B68E7" w:rsidRPr="008036A1">
        <w:rPr>
          <w:rFonts w:ascii="Bookman Old Style" w:eastAsia="Times New Roman" w:hAnsi="Bookman Old Style"/>
          <w:color w:val="000000"/>
          <w:sz w:val="22"/>
          <w:szCs w:val="22"/>
        </w:rPr>
        <w:t>ven</w:t>
      </w:r>
      <w:r w:rsidR="00B12079" w:rsidRPr="008036A1">
        <w:rPr>
          <w:rFonts w:ascii="Bookman Old Style" w:eastAsia="Times New Roman" w:hAnsi="Bookman Old Style"/>
          <w:color w:val="000000"/>
          <w:sz w:val="22"/>
          <w:szCs w:val="22"/>
        </w:rPr>
        <w:t>t être titulaire</w:t>
      </w:r>
      <w:r w:rsidR="007B68E7" w:rsidRPr="008036A1">
        <w:rPr>
          <w:rFonts w:ascii="Bookman Old Style" w:eastAsia="Times New Roman" w:hAnsi="Bookman Old Style"/>
          <w:color w:val="000000"/>
          <w:sz w:val="22"/>
          <w:szCs w:val="22"/>
        </w:rPr>
        <w:t>s</w:t>
      </w:r>
      <w:r w:rsidR="00B12079" w:rsidRPr="008036A1">
        <w:rPr>
          <w:rFonts w:ascii="Bookman Old Style" w:eastAsia="Times New Roman" w:hAnsi="Bookman Old Style"/>
          <w:color w:val="000000"/>
          <w:sz w:val="22"/>
          <w:szCs w:val="22"/>
        </w:rPr>
        <w:t xml:space="preserve"> d'un Master 1 mention </w:t>
      </w:r>
      <w:r w:rsidR="00B12079" w:rsidRPr="008036A1">
        <w:rPr>
          <w:rFonts w:ascii="Bookman Old Style" w:hAnsi="Bookman Old Style"/>
          <w:sz w:val="22"/>
          <w:szCs w:val="22"/>
        </w:rPr>
        <w:t>É</w:t>
      </w:r>
      <w:r w:rsidR="00B12079" w:rsidRPr="008036A1">
        <w:rPr>
          <w:rFonts w:ascii="Bookman Old Style" w:eastAsia="Times New Roman" w:hAnsi="Bookman Old Style"/>
          <w:sz w:val="22"/>
          <w:szCs w:val="22"/>
        </w:rPr>
        <w:t xml:space="preserve">conomie du Droit, ou d’un </w:t>
      </w:r>
      <w:r w:rsidR="00420DD0" w:rsidRPr="008036A1">
        <w:rPr>
          <w:rFonts w:ascii="Bookman Old Style" w:eastAsia="Times New Roman" w:hAnsi="Bookman Old Style"/>
          <w:sz w:val="22"/>
          <w:szCs w:val="22"/>
        </w:rPr>
        <w:t>M</w:t>
      </w:r>
      <w:r w:rsidR="00B12079" w:rsidRPr="008036A1">
        <w:rPr>
          <w:rFonts w:ascii="Bookman Old Style" w:eastAsia="Times New Roman" w:hAnsi="Bookman Old Style"/>
          <w:sz w:val="22"/>
          <w:szCs w:val="22"/>
        </w:rPr>
        <w:t xml:space="preserve">aster 1 mention droit et économie, ou d’un </w:t>
      </w:r>
      <w:r w:rsidR="00420DD0" w:rsidRPr="008036A1">
        <w:rPr>
          <w:rFonts w:ascii="Bookman Old Style" w:eastAsia="Times New Roman" w:hAnsi="Bookman Old Style"/>
          <w:sz w:val="22"/>
          <w:szCs w:val="22"/>
        </w:rPr>
        <w:t>M</w:t>
      </w:r>
      <w:r w:rsidR="00B12079" w:rsidRPr="008036A1">
        <w:rPr>
          <w:rFonts w:ascii="Bookman Old Style" w:eastAsia="Times New Roman" w:hAnsi="Bookman Old Style"/>
          <w:sz w:val="22"/>
          <w:szCs w:val="22"/>
        </w:rPr>
        <w:t xml:space="preserve">aster 1 d’économie, ou d’un </w:t>
      </w:r>
      <w:r w:rsidR="00420DD0" w:rsidRPr="008036A1">
        <w:rPr>
          <w:rFonts w:ascii="Bookman Old Style" w:eastAsia="Times New Roman" w:hAnsi="Bookman Old Style"/>
          <w:sz w:val="22"/>
          <w:szCs w:val="22"/>
        </w:rPr>
        <w:t>M</w:t>
      </w:r>
      <w:r w:rsidR="00B12079" w:rsidRPr="008036A1">
        <w:rPr>
          <w:rFonts w:ascii="Bookman Old Style" w:eastAsia="Times New Roman" w:hAnsi="Bookman Old Style"/>
          <w:sz w:val="22"/>
          <w:szCs w:val="22"/>
        </w:rPr>
        <w:t>aster de droit avec un solide parcours en économie</w:t>
      </w:r>
      <w:r w:rsidR="00B12079" w:rsidRPr="008036A1">
        <w:rPr>
          <w:rFonts w:ascii="Bookman Old Style" w:eastAsia="Times New Roman" w:hAnsi="Bookman Old Style"/>
          <w:color w:val="000000"/>
          <w:sz w:val="22"/>
          <w:szCs w:val="22"/>
        </w:rPr>
        <w:t xml:space="preserve">. L’admission des candidats est prononcée par </w:t>
      </w:r>
      <w:r w:rsidR="00EE3C1C" w:rsidRPr="008036A1">
        <w:rPr>
          <w:rFonts w:ascii="Bookman Old Style" w:eastAsia="Times New Roman" w:hAnsi="Bookman Old Style"/>
          <w:color w:val="000000"/>
          <w:sz w:val="22"/>
          <w:szCs w:val="22"/>
        </w:rPr>
        <w:t>le</w:t>
      </w:r>
      <w:r w:rsidR="00B12079" w:rsidRPr="008036A1">
        <w:rPr>
          <w:rFonts w:ascii="Bookman Old Style" w:eastAsia="Times New Roman" w:hAnsi="Bookman Old Style"/>
          <w:color w:val="000000"/>
          <w:sz w:val="22"/>
          <w:szCs w:val="22"/>
        </w:rPr>
        <w:t xml:space="preserve"> jury </w:t>
      </w:r>
      <w:r w:rsidR="00D275FB" w:rsidRPr="008036A1">
        <w:rPr>
          <w:rFonts w:ascii="Bookman Old Style" w:eastAsia="Times New Roman" w:hAnsi="Bookman Old Style"/>
          <w:color w:val="000000"/>
          <w:sz w:val="22"/>
          <w:szCs w:val="22"/>
        </w:rPr>
        <w:t xml:space="preserve">après </w:t>
      </w:r>
      <w:r w:rsidR="00B12079" w:rsidRPr="008036A1">
        <w:rPr>
          <w:rFonts w:ascii="Bookman Old Style" w:eastAsia="Times New Roman" w:hAnsi="Bookman Old Style"/>
          <w:color w:val="000000"/>
          <w:sz w:val="22"/>
          <w:szCs w:val="22"/>
        </w:rPr>
        <w:t xml:space="preserve">l’examen du dossier de candidature, et éventuellement </w:t>
      </w:r>
      <w:r w:rsidR="00D275FB" w:rsidRPr="008036A1">
        <w:rPr>
          <w:rFonts w:ascii="Bookman Old Style" w:eastAsia="Times New Roman" w:hAnsi="Bookman Old Style"/>
          <w:color w:val="000000"/>
          <w:sz w:val="22"/>
          <w:szCs w:val="22"/>
        </w:rPr>
        <w:t>à l’issue d</w:t>
      </w:r>
      <w:r w:rsidR="00EC3B92" w:rsidRPr="008036A1">
        <w:rPr>
          <w:rFonts w:ascii="Bookman Old Style" w:eastAsia="Times New Roman" w:hAnsi="Bookman Old Style"/>
          <w:color w:val="000000"/>
          <w:sz w:val="22"/>
          <w:szCs w:val="22"/>
        </w:rPr>
        <w:t>’</w:t>
      </w:r>
      <w:r w:rsidR="00B12079" w:rsidRPr="008036A1">
        <w:rPr>
          <w:rFonts w:ascii="Bookman Old Style" w:eastAsia="Times New Roman" w:hAnsi="Bookman Old Style"/>
          <w:color w:val="000000"/>
          <w:sz w:val="22"/>
          <w:szCs w:val="22"/>
        </w:rPr>
        <w:t>un entretien</w:t>
      </w:r>
      <w:r w:rsidR="00B12079" w:rsidRPr="008036A1">
        <w:rPr>
          <w:rFonts w:ascii="Bookman Old Style" w:hAnsi="Bookman Old Style"/>
          <w:color w:val="000000"/>
          <w:sz w:val="22"/>
          <w:szCs w:val="22"/>
        </w:rPr>
        <w:t>.</w:t>
      </w:r>
    </w:p>
    <w:p w:rsidR="00241816" w:rsidRDefault="00241816" w:rsidP="0071470B">
      <w:pPr>
        <w:pStyle w:val="Styleparde9faut"/>
        <w:spacing w:after="240"/>
        <w:jc w:val="both"/>
        <w:rPr>
          <w:rFonts w:ascii="Bookman Old Style" w:hAnsi="Bookman Old Style"/>
          <w:color w:val="000000"/>
          <w:sz w:val="22"/>
          <w:szCs w:val="22"/>
        </w:rPr>
      </w:pPr>
    </w:p>
    <w:p w:rsidR="007C53DF" w:rsidRPr="008036A1" w:rsidRDefault="00D35F02" w:rsidP="000256A8">
      <w:pPr>
        <w:spacing w:after="0" w:line="360" w:lineRule="auto"/>
        <w:jc w:val="both"/>
        <w:rPr>
          <w:rFonts w:ascii="Bookman Old Style" w:hAnsi="Bookman Old Style" w:cs="Times New Roman"/>
          <w:b/>
        </w:rPr>
      </w:pPr>
      <w:r>
        <w:rPr>
          <w:rFonts w:ascii="Bookman Old Style" w:hAnsi="Bookman Old Style" w:cs="Times New Roman"/>
          <w:b/>
        </w:rPr>
        <w:t xml:space="preserve">2/ </w:t>
      </w:r>
      <w:r w:rsidR="007C53DF" w:rsidRPr="008036A1">
        <w:rPr>
          <w:rFonts w:ascii="Bookman Old Style" w:hAnsi="Bookman Old Style" w:cs="Times New Roman"/>
          <w:b/>
        </w:rPr>
        <w:t>DEBOUCHES ET SECTEURS D’ACTIVITE :</w:t>
      </w:r>
    </w:p>
    <w:p w:rsidR="00217553" w:rsidRDefault="00BE0ADA" w:rsidP="00B12079">
      <w:pPr>
        <w:jc w:val="both"/>
        <w:rPr>
          <w:rFonts w:ascii="Bookman Old Style" w:hAnsi="Bookman Old Style" w:cs="Times New Roman"/>
        </w:rPr>
      </w:pPr>
      <w:r>
        <w:rPr>
          <w:rFonts w:ascii="Bookman Old Style" w:hAnsi="Bookman Old Style" w:cs="Times New Roman"/>
        </w:rPr>
        <w:t xml:space="preserve">Autorités de la concurrence // </w:t>
      </w:r>
      <w:r w:rsidR="00895BB5" w:rsidRPr="008036A1">
        <w:rPr>
          <w:rFonts w:ascii="Bookman Old Style" w:hAnsi="Bookman Old Style" w:cs="Times New Roman"/>
        </w:rPr>
        <w:t>A</w:t>
      </w:r>
      <w:r w:rsidR="007C53DF" w:rsidRPr="008036A1">
        <w:rPr>
          <w:rFonts w:ascii="Bookman Old Style" w:hAnsi="Bookman Old Style" w:cs="Times New Roman"/>
        </w:rPr>
        <w:t xml:space="preserve">gences de régulation // </w:t>
      </w:r>
      <w:r w:rsidR="00895BB5" w:rsidRPr="008036A1">
        <w:rPr>
          <w:rFonts w:ascii="Bookman Old Style" w:hAnsi="Bookman Old Style" w:cs="Times New Roman"/>
        </w:rPr>
        <w:t xml:space="preserve">Cabinets de </w:t>
      </w:r>
      <w:r w:rsidR="007C53DF" w:rsidRPr="008036A1">
        <w:rPr>
          <w:rFonts w:ascii="Bookman Old Style" w:hAnsi="Bookman Old Style" w:cs="Times New Roman"/>
        </w:rPr>
        <w:t xml:space="preserve">conseil et </w:t>
      </w:r>
      <w:r w:rsidR="00895BB5" w:rsidRPr="008036A1">
        <w:rPr>
          <w:rFonts w:ascii="Bookman Old Style" w:hAnsi="Bookman Old Style" w:cs="Times New Roman"/>
        </w:rPr>
        <w:t>d’</w:t>
      </w:r>
      <w:r w:rsidR="007C53DF" w:rsidRPr="008036A1">
        <w:rPr>
          <w:rFonts w:ascii="Bookman Old Style" w:hAnsi="Bookman Old Style" w:cs="Times New Roman"/>
        </w:rPr>
        <w:t xml:space="preserve">expertise économique et judiciaire // </w:t>
      </w:r>
      <w:r w:rsidR="00895BB5" w:rsidRPr="008036A1">
        <w:rPr>
          <w:rFonts w:ascii="Bookman Old Style" w:hAnsi="Bookman Old Style" w:cs="Times New Roman"/>
        </w:rPr>
        <w:t>O</w:t>
      </w:r>
      <w:r w:rsidR="007C53DF" w:rsidRPr="008036A1">
        <w:rPr>
          <w:rFonts w:ascii="Bookman Old Style" w:hAnsi="Bookman Old Style" w:cs="Times New Roman"/>
        </w:rPr>
        <w:t>rganisations internationales //</w:t>
      </w:r>
      <w:r w:rsidR="007C53DF" w:rsidRPr="008036A1">
        <w:rPr>
          <w:rFonts w:ascii="Bookman Old Style" w:hAnsi="Bookman Old Style" w:cs="Times New Roman"/>
          <w:color w:val="000000"/>
        </w:rPr>
        <w:t xml:space="preserve"> </w:t>
      </w:r>
      <w:r w:rsidR="00895BB5" w:rsidRPr="008036A1">
        <w:rPr>
          <w:rFonts w:ascii="Bookman Old Style" w:hAnsi="Bookman Old Style" w:cs="Times New Roman"/>
          <w:color w:val="000000"/>
        </w:rPr>
        <w:t>Associations professionnelles // Associations d’usagers et de consommateurs // F</w:t>
      </w:r>
      <w:r w:rsidR="007C53DF" w:rsidRPr="008036A1">
        <w:rPr>
          <w:rFonts w:ascii="Bookman Old Style" w:hAnsi="Bookman Old Style" w:cs="Times New Roman"/>
          <w:color w:val="000000"/>
        </w:rPr>
        <w:t>onction publique </w:t>
      </w:r>
      <w:r w:rsidR="007C53DF" w:rsidRPr="008036A1">
        <w:rPr>
          <w:rFonts w:ascii="Bookman Old Style" w:hAnsi="Bookman Old Style" w:cs="Times New Roman"/>
        </w:rPr>
        <w:t xml:space="preserve">// </w:t>
      </w:r>
      <w:r w:rsidR="00895BB5" w:rsidRPr="008036A1">
        <w:rPr>
          <w:rFonts w:ascii="Bookman Old Style" w:hAnsi="Bookman Old Style" w:cs="Times New Roman"/>
        </w:rPr>
        <w:t>E</w:t>
      </w:r>
      <w:r w:rsidR="007C53DF" w:rsidRPr="008036A1">
        <w:rPr>
          <w:rFonts w:ascii="Bookman Old Style" w:hAnsi="Bookman Old Style" w:cs="Times New Roman"/>
        </w:rPr>
        <w:t xml:space="preserve">ntreprise tout secteur // </w:t>
      </w:r>
      <w:r w:rsidR="00895BB5" w:rsidRPr="008036A1">
        <w:rPr>
          <w:rFonts w:ascii="Bookman Old Style" w:hAnsi="Bookman Old Style" w:cs="Times New Roman"/>
        </w:rPr>
        <w:t>E</w:t>
      </w:r>
      <w:r w:rsidR="007C53DF" w:rsidRPr="008036A1">
        <w:rPr>
          <w:rFonts w:ascii="Bookman Old Style" w:hAnsi="Bookman Old Style" w:cs="Times New Roman"/>
        </w:rPr>
        <w:t>nseignement </w:t>
      </w:r>
      <w:r w:rsidR="00D6162B" w:rsidRPr="008036A1">
        <w:rPr>
          <w:rFonts w:ascii="Bookman Old Style" w:hAnsi="Bookman Old Style" w:cs="Times New Roman"/>
        </w:rPr>
        <w:t xml:space="preserve">//  </w:t>
      </w:r>
      <w:r w:rsidR="00895BB5" w:rsidRPr="008036A1">
        <w:rPr>
          <w:rFonts w:ascii="Bookman Old Style" w:hAnsi="Bookman Old Style" w:cs="Times New Roman"/>
        </w:rPr>
        <w:t>R</w:t>
      </w:r>
      <w:r w:rsidR="00D6162B" w:rsidRPr="008036A1">
        <w:rPr>
          <w:rFonts w:ascii="Bookman Old Style" w:hAnsi="Bookman Old Style" w:cs="Times New Roman"/>
        </w:rPr>
        <w:t>echerche publique et privée</w:t>
      </w:r>
      <w:r w:rsidR="00D95753">
        <w:rPr>
          <w:rFonts w:ascii="Bookman Old Style" w:hAnsi="Bookman Old Style" w:cs="Times New Roman"/>
        </w:rPr>
        <w:t>.</w:t>
      </w:r>
    </w:p>
    <w:p w:rsidR="00241816" w:rsidRPr="008036A1" w:rsidRDefault="00241816" w:rsidP="00B12079">
      <w:pPr>
        <w:jc w:val="both"/>
        <w:rPr>
          <w:rFonts w:ascii="Bookman Old Style" w:hAnsi="Bookman Old Style" w:cs="Times New Roman"/>
        </w:rPr>
      </w:pPr>
    </w:p>
    <w:p w:rsidR="00EE4A19" w:rsidRPr="008036A1" w:rsidRDefault="00EE4A19" w:rsidP="00EE4A19">
      <w:pPr>
        <w:spacing w:after="0" w:line="360" w:lineRule="auto"/>
        <w:jc w:val="both"/>
        <w:rPr>
          <w:rFonts w:ascii="Bookman Old Style" w:hAnsi="Bookman Old Style" w:cs="Times New Roman"/>
          <w:b/>
        </w:rPr>
      </w:pPr>
      <w:r>
        <w:rPr>
          <w:rFonts w:ascii="Bookman Old Style" w:hAnsi="Bookman Old Style" w:cs="Times New Roman"/>
          <w:b/>
        </w:rPr>
        <w:t xml:space="preserve">3/ </w:t>
      </w:r>
      <w:r w:rsidRPr="008036A1">
        <w:rPr>
          <w:rFonts w:ascii="Bookman Old Style" w:hAnsi="Bookman Old Style" w:cs="Times New Roman"/>
          <w:b/>
        </w:rPr>
        <w:t>METIERS ET FONCTIONS :</w:t>
      </w:r>
    </w:p>
    <w:p w:rsidR="00EE4A19" w:rsidRPr="008036A1" w:rsidRDefault="00EE4A19" w:rsidP="00EE4A19">
      <w:pPr>
        <w:jc w:val="both"/>
        <w:rPr>
          <w:rFonts w:ascii="Bookman Old Style" w:hAnsi="Bookman Old Style" w:cs="Times New Roman"/>
        </w:rPr>
      </w:pPr>
      <w:r w:rsidRPr="008036A1">
        <w:rPr>
          <w:rFonts w:ascii="Bookman Old Style" w:hAnsi="Bookman Old Style"/>
        </w:rPr>
        <w:t>Chargé(e) de missions auprès des autorités de régulation/concurrence // Chargé(e) d’études et prospectives économiques et sociales // Directeur/directrice d’études en entreprise // Consultant d’affaire // Expert en conseil économique et juridique // Conception et pilotage des po</w:t>
      </w:r>
      <w:r w:rsidR="007353AE">
        <w:rPr>
          <w:rFonts w:ascii="Bookman Old Style" w:hAnsi="Bookman Old Style"/>
        </w:rPr>
        <w:t xml:space="preserve">litiques publiques // </w:t>
      </w:r>
      <w:r w:rsidRPr="008036A1">
        <w:rPr>
          <w:rFonts w:ascii="Bookman Old Style" w:hAnsi="Bookman Old Style"/>
        </w:rPr>
        <w:t>Enseignement supérieur</w:t>
      </w:r>
      <w:r w:rsidR="00D95753">
        <w:rPr>
          <w:rFonts w:ascii="Bookman Old Style" w:hAnsi="Bookman Old Style"/>
        </w:rPr>
        <w:t>.</w:t>
      </w:r>
    </w:p>
    <w:p w:rsidR="00EE4A19" w:rsidRDefault="00EE4A19" w:rsidP="00B12079">
      <w:pPr>
        <w:jc w:val="both"/>
        <w:rPr>
          <w:rFonts w:ascii="Bookman Old Style" w:hAnsi="Bookman Old Style" w:cs="Times New Roman"/>
        </w:rPr>
      </w:pPr>
    </w:p>
    <w:p w:rsidR="00FB62F2" w:rsidRPr="008036A1" w:rsidRDefault="00EE4A19" w:rsidP="00FB62F2">
      <w:pPr>
        <w:spacing w:before="120" w:after="120"/>
        <w:jc w:val="both"/>
        <w:rPr>
          <w:rFonts w:ascii="Bookman Old Style" w:hAnsi="Bookman Old Style"/>
          <w:color w:val="000000"/>
        </w:rPr>
      </w:pPr>
      <w:r>
        <w:rPr>
          <w:rFonts w:ascii="Bookman Old Style" w:hAnsi="Bookman Old Style"/>
          <w:color w:val="000000"/>
        </w:rPr>
        <w:lastRenderedPageBreak/>
        <w:t>C</w:t>
      </w:r>
      <w:r w:rsidR="00FB62F2" w:rsidRPr="008036A1">
        <w:rPr>
          <w:rFonts w:ascii="Bookman Old Style" w:hAnsi="Bookman Old Style"/>
          <w:color w:val="000000"/>
        </w:rPr>
        <w:t>es débouchés professionnels d</w:t>
      </w:r>
      <w:r w:rsidR="00FB62F2">
        <w:rPr>
          <w:rFonts w:ascii="Bookman Old Style" w:hAnsi="Bookman Old Style"/>
          <w:color w:val="000000"/>
        </w:rPr>
        <w:t>u Master 2</w:t>
      </w:r>
      <w:r w:rsidR="00FB62F2" w:rsidRPr="008036A1">
        <w:rPr>
          <w:rFonts w:ascii="Bookman Old Style" w:hAnsi="Bookman Old Style"/>
          <w:color w:val="000000"/>
        </w:rPr>
        <w:t xml:space="preserve"> sont constitués par trois grands types de métiers :</w:t>
      </w:r>
    </w:p>
    <w:p w:rsidR="00FB62F2" w:rsidRPr="008036A1" w:rsidRDefault="00FB62F2" w:rsidP="00FB62F2">
      <w:pPr>
        <w:jc w:val="both"/>
        <w:rPr>
          <w:rFonts w:ascii="Bookman Old Style" w:hAnsi="Bookman Old Style"/>
          <w:color w:val="000000"/>
        </w:rPr>
      </w:pPr>
      <w:r w:rsidRPr="008036A1">
        <w:rPr>
          <w:rFonts w:ascii="Bookman Old Style" w:hAnsi="Bookman Old Style"/>
          <w:color w:val="000000"/>
        </w:rPr>
        <w:t>a) expertise économique et juridique </w:t>
      </w:r>
    </w:p>
    <w:p w:rsidR="00FB62F2" w:rsidRPr="008036A1" w:rsidRDefault="00FB62F2" w:rsidP="00FB62F2">
      <w:pPr>
        <w:jc w:val="both"/>
        <w:rPr>
          <w:rFonts w:ascii="Bookman Old Style" w:hAnsi="Bookman Old Style"/>
          <w:color w:val="000000"/>
        </w:rPr>
      </w:pPr>
      <w:r w:rsidRPr="008036A1">
        <w:rPr>
          <w:rFonts w:ascii="Bookman Old Style" w:hAnsi="Bookman Old Style"/>
          <w:bCs/>
          <w:color w:val="000000"/>
        </w:rPr>
        <w:t xml:space="preserve">Le règlement des litiges entre les entreprises, ou les individus, fait appel aux compétences d’experts capables d’estimer les préjudices, évaluer les coûts des différentes procédures judiciaires, aider à élaborer une stratégie de résolution du conflit. Ainsi, la spécialité est ouverte aux métiers du conseil et de l’expertise économique et judiciaire : conseil aux cabinets d’avocats d’affaire, conseils auprès des services du contentieux des entreprises, expertises pour le compte d’associations (groupements d’intérêt, associations de consommateurs ou d’usagers) ou bien des organisations internationales. </w:t>
      </w:r>
    </w:p>
    <w:p w:rsidR="00FB62F2" w:rsidRPr="008036A1" w:rsidRDefault="00FB62F2" w:rsidP="00FB62F2">
      <w:pPr>
        <w:jc w:val="both"/>
        <w:rPr>
          <w:rFonts w:ascii="Bookman Old Style" w:hAnsi="Bookman Old Style"/>
          <w:color w:val="000000"/>
        </w:rPr>
      </w:pPr>
      <w:r w:rsidRPr="008036A1">
        <w:rPr>
          <w:rFonts w:ascii="Bookman Old Style" w:hAnsi="Bookman Old Style"/>
          <w:color w:val="000000"/>
        </w:rPr>
        <w:t>b) chargé d’études </w:t>
      </w:r>
    </w:p>
    <w:p w:rsidR="00FB62F2" w:rsidRPr="008036A1" w:rsidRDefault="00FB62F2" w:rsidP="00FB62F2">
      <w:pPr>
        <w:jc w:val="both"/>
        <w:rPr>
          <w:rFonts w:ascii="Bookman Old Style" w:hAnsi="Bookman Old Style"/>
          <w:color w:val="000000"/>
        </w:rPr>
      </w:pPr>
      <w:r w:rsidRPr="008036A1">
        <w:rPr>
          <w:rFonts w:ascii="Bookman Old Style" w:hAnsi="Bookman Old Style"/>
          <w:bCs/>
          <w:color w:val="000000"/>
        </w:rPr>
        <w:t>L</w:t>
      </w:r>
      <w:r>
        <w:rPr>
          <w:rFonts w:ascii="Bookman Old Style" w:hAnsi="Bookman Old Style"/>
          <w:bCs/>
          <w:color w:val="000000"/>
        </w:rPr>
        <w:t>e Master 2</w:t>
      </w:r>
      <w:r w:rsidRPr="008036A1">
        <w:rPr>
          <w:rFonts w:ascii="Bookman Old Style" w:hAnsi="Bookman Old Style"/>
          <w:bCs/>
          <w:color w:val="000000"/>
        </w:rPr>
        <w:t xml:space="preserve"> forme des spécialistes compétents dans le domaine de la recherche appliquée en économie du droit, développant des analyses concernant l’impact juridico-économique de l’apparition de nouveaux produits, ou d’une nouvelle législation sur un marché (marché du travail et protection des salariés, secteur des nouvelles technologies et protection des droits d’auteurs etc), ou encore réalisant des études portant sur l’évaluation du risque juridique associé aux marchés étrangers (conséquences économiques et adaptation à une législation différente du pays d’origine).</w:t>
      </w:r>
    </w:p>
    <w:p w:rsidR="00FB62F2" w:rsidRPr="008036A1" w:rsidRDefault="00FB62F2" w:rsidP="00FB62F2">
      <w:pPr>
        <w:jc w:val="both"/>
        <w:rPr>
          <w:rFonts w:ascii="Bookman Old Style" w:hAnsi="Bookman Old Style"/>
          <w:color w:val="000000"/>
        </w:rPr>
      </w:pPr>
      <w:r w:rsidRPr="008036A1">
        <w:rPr>
          <w:rFonts w:ascii="Bookman Old Style" w:hAnsi="Bookman Old Style"/>
          <w:color w:val="000000"/>
        </w:rPr>
        <w:t>c) enseignement et recherche </w:t>
      </w:r>
    </w:p>
    <w:p w:rsidR="00FB62F2" w:rsidRDefault="00FB62F2" w:rsidP="00FB62F2">
      <w:pPr>
        <w:jc w:val="both"/>
        <w:rPr>
          <w:rFonts w:ascii="Bookman Old Style" w:hAnsi="Bookman Old Style"/>
          <w:bCs/>
          <w:color w:val="000000"/>
        </w:rPr>
      </w:pPr>
      <w:r w:rsidRPr="008036A1">
        <w:rPr>
          <w:rFonts w:ascii="Bookman Old Style" w:hAnsi="Bookman Old Style"/>
          <w:bCs/>
          <w:color w:val="000000"/>
        </w:rPr>
        <w:t>L</w:t>
      </w:r>
      <w:r>
        <w:rPr>
          <w:rFonts w:ascii="Bookman Old Style" w:hAnsi="Bookman Old Style"/>
          <w:bCs/>
          <w:color w:val="000000"/>
        </w:rPr>
        <w:t xml:space="preserve">e </w:t>
      </w:r>
      <w:r w:rsidR="00D95753">
        <w:rPr>
          <w:rFonts w:ascii="Bookman Old Style" w:hAnsi="Bookman Old Style"/>
          <w:bCs/>
          <w:color w:val="000000"/>
        </w:rPr>
        <w:t>M</w:t>
      </w:r>
      <w:r>
        <w:rPr>
          <w:rFonts w:ascii="Bookman Old Style" w:hAnsi="Bookman Old Style"/>
          <w:bCs/>
          <w:color w:val="000000"/>
        </w:rPr>
        <w:t>aster 2</w:t>
      </w:r>
      <w:r w:rsidRPr="008036A1">
        <w:rPr>
          <w:rFonts w:ascii="Bookman Old Style" w:hAnsi="Bookman Old Style"/>
          <w:bCs/>
          <w:color w:val="000000"/>
        </w:rPr>
        <w:t xml:space="preserve"> prépare les étudiants motivés par l’enseignement supérieur et la recherche académique ayant la dimension bi-disciplinaire « droit-économie », à accéder </w:t>
      </w:r>
      <w:r w:rsidRPr="008036A1">
        <w:rPr>
          <w:rFonts w:ascii="Bookman Old Style" w:hAnsi="Bookman Old Style"/>
          <w:color w:val="000000"/>
        </w:rPr>
        <w:t xml:space="preserve">aux métiers auxquels ouvre un Doctorat en Droit et Economie. Mais les étudiants pourront aussi poursuivre par un Doctorat </w:t>
      </w:r>
      <w:r>
        <w:rPr>
          <w:rFonts w:ascii="Bookman Old Style" w:hAnsi="Bookman Old Style"/>
          <w:color w:val="000000"/>
        </w:rPr>
        <w:t xml:space="preserve">en </w:t>
      </w:r>
      <w:r w:rsidRPr="008036A1">
        <w:rPr>
          <w:rFonts w:ascii="Bookman Old Style" w:hAnsi="Bookman Old Style"/>
          <w:color w:val="000000"/>
        </w:rPr>
        <w:t>Economie</w:t>
      </w:r>
      <w:r>
        <w:rPr>
          <w:rFonts w:ascii="Bookman Old Style" w:hAnsi="Bookman Old Style"/>
          <w:color w:val="000000"/>
        </w:rPr>
        <w:t xml:space="preserve"> Ecole Doctorale Economie Organisation Société)</w:t>
      </w:r>
      <w:r w:rsidRPr="008036A1">
        <w:rPr>
          <w:rFonts w:ascii="Bookman Old Style" w:hAnsi="Bookman Old Style"/>
          <w:color w:val="000000"/>
        </w:rPr>
        <w:t>, où ils pourront valoriser les connaissances acquises lors de leur parcours mixte et contribuer ainsi à faire évoluer leur champ disciplinaire.</w:t>
      </w:r>
      <w:r w:rsidRPr="008036A1">
        <w:rPr>
          <w:rFonts w:ascii="Bookman Old Style" w:hAnsi="Bookman Old Style"/>
          <w:bCs/>
          <w:color w:val="000000"/>
        </w:rPr>
        <w:t xml:space="preserve"> Le</w:t>
      </w:r>
      <w:r>
        <w:rPr>
          <w:rFonts w:ascii="Bookman Old Style" w:hAnsi="Bookman Old Style"/>
          <w:bCs/>
          <w:color w:val="000000"/>
        </w:rPr>
        <w:t xml:space="preserve"> laboratoire</w:t>
      </w:r>
      <w:r w:rsidRPr="008036A1">
        <w:rPr>
          <w:rFonts w:ascii="Bookman Old Style" w:hAnsi="Bookman Old Style"/>
          <w:bCs/>
          <w:color w:val="000000"/>
        </w:rPr>
        <w:t xml:space="preserve"> d’accueil EconomiX (UMR CNRS et Paris Ouest-Nanterre) offre les conditions appropriées pour définir dès le M2, à l’occasion de la préparation du mémoire, un projet de recherche qui sera approfondi dans la thèse de doctorat d’université.</w:t>
      </w:r>
    </w:p>
    <w:p w:rsidR="00040A12" w:rsidRDefault="00040A12" w:rsidP="000256A8">
      <w:pPr>
        <w:spacing w:after="0" w:line="360" w:lineRule="auto"/>
        <w:jc w:val="both"/>
        <w:rPr>
          <w:rFonts w:ascii="Bookman Old Style" w:hAnsi="Bookman Old Style" w:cs="Times New Roman"/>
          <w:b/>
        </w:rPr>
      </w:pPr>
    </w:p>
    <w:p w:rsidR="000256A8" w:rsidRPr="008036A1" w:rsidRDefault="000B5EE9" w:rsidP="000256A8">
      <w:pPr>
        <w:spacing w:after="0" w:line="360" w:lineRule="auto"/>
        <w:jc w:val="both"/>
        <w:rPr>
          <w:rFonts w:ascii="Bookman Old Style" w:hAnsi="Bookman Old Style" w:cs="Times New Roman"/>
          <w:b/>
        </w:rPr>
      </w:pPr>
      <w:r>
        <w:rPr>
          <w:rFonts w:ascii="Bookman Old Style" w:hAnsi="Bookman Old Style" w:cs="Times New Roman"/>
          <w:b/>
        </w:rPr>
        <w:t>4</w:t>
      </w:r>
      <w:r w:rsidR="00D35F02">
        <w:rPr>
          <w:rFonts w:ascii="Bookman Old Style" w:hAnsi="Bookman Old Style" w:cs="Times New Roman"/>
          <w:b/>
        </w:rPr>
        <w:t xml:space="preserve">/ </w:t>
      </w:r>
      <w:r w:rsidR="000256A8" w:rsidRPr="008036A1">
        <w:rPr>
          <w:rFonts w:ascii="Bookman Old Style" w:hAnsi="Bookman Old Style" w:cs="Times New Roman"/>
          <w:b/>
        </w:rPr>
        <w:t>PARTENARIATS SCIENTIFIQUES </w:t>
      </w:r>
      <w:r w:rsidR="007840E8" w:rsidRPr="008036A1">
        <w:rPr>
          <w:rFonts w:ascii="Bookman Old Style" w:hAnsi="Bookman Old Style" w:cs="Times New Roman"/>
          <w:b/>
        </w:rPr>
        <w:t xml:space="preserve">ET PROFESSIONNELS </w:t>
      </w:r>
      <w:r w:rsidR="000256A8" w:rsidRPr="008036A1">
        <w:rPr>
          <w:rFonts w:ascii="Bookman Old Style" w:hAnsi="Bookman Old Style" w:cs="Times New Roman"/>
          <w:b/>
        </w:rPr>
        <w:t>:</w:t>
      </w:r>
    </w:p>
    <w:p w:rsidR="002C0CB4" w:rsidRPr="00095A1B" w:rsidRDefault="000256A8" w:rsidP="00B12079">
      <w:pPr>
        <w:jc w:val="both"/>
        <w:rPr>
          <w:rFonts w:ascii="Bookman Old Style" w:hAnsi="Bookman Old Style" w:cs="Times New Roman"/>
        </w:rPr>
      </w:pPr>
      <w:r w:rsidRPr="008036A1">
        <w:rPr>
          <w:rFonts w:ascii="Bookman Old Style" w:hAnsi="Bookman Old Style" w:cs="Times New Roman"/>
        </w:rPr>
        <w:t>Le Master</w:t>
      </w:r>
      <w:r w:rsidRPr="008036A1">
        <w:rPr>
          <w:rFonts w:ascii="Bookman Old Style" w:hAnsi="Bookman Old Style" w:cs="Times New Roman"/>
          <w:b/>
        </w:rPr>
        <w:t xml:space="preserve"> </w:t>
      </w:r>
      <w:r w:rsidRPr="008036A1">
        <w:rPr>
          <w:rFonts w:ascii="Bookman Old Style" w:hAnsi="Bookman Old Style" w:cs="Times New Roman"/>
        </w:rPr>
        <w:t xml:space="preserve">s’appuie sur le </w:t>
      </w:r>
      <w:r w:rsidR="00241816">
        <w:rPr>
          <w:rFonts w:ascii="Bookman Old Style" w:hAnsi="Bookman Old Style" w:cs="Times New Roman"/>
        </w:rPr>
        <w:t>laboratoire</w:t>
      </w:r>
      <w:r w:rsidRPr="008036A1">
        <w:rPr>
          <w:rFonts w:ascii="Bookman Old Style" w:hAnsi="Bookman Old Style" w:cs="Times New Roman"/>
        </w:rPr>
        <w:t xml:space="preserve"> EconomiX UMR 7235 CNRS &amp; Paris Ouest Nanterre </w:t>
      </w:r>
      <w:r w:rsidR="00095A1B">
        <w:rPr>
          <w:rFonts w:ascii="Bookman Old Style" w:hAnsi="Bookman Old Style" w:cs="Times New Roman"/>
        </w:rPr>
        <w:t>(</w:t>
      </w:r>
      <w:r w:rsidR="005E3097">
        <w:rPr>
          <w:rFonts w:ascii="Bookman Old Style" w:hAnsi="Bookman Old Style" w:cs="Times New Roman"/>
        </w:rPr>
        <w:t xml:space="preserve">évalué A+ </w:t>
      </w:r>
      <w:r w:rsidR="005E3097" w:rsidRPr="008036A1">
        <w:rPr>
          <w:rFonts w:ascii="Bookman Old Style" w:hAnsi="Bookman Old Style" w:cs="Times New Roman"/>
          <w:color w:val="000000"/>
        </w:rPr>
        <w:t>lors de la campagne AERES 2013</w:t>
      </w:r>
      <w:r w:rsidR="00095A1B">
        <w:rPr>
          <w:rFonts w:ascii="Bookman Old Style" w:hAnsi="Bookman Old Style" w:cs="Times New Roman"/>
        </w:rPr>
        <w:t xml:space="preserve">) </w:t>
      </w:r>
      <w:r w:rsidR="009B584C" w:rsidRPr="00387C33">
        <w:rPr>
          <w:rFonts w:ascii="Bookman Old Style" w:hAnsi="Bookman Old Style" w:cs="Times New Roman"/>
          <w:i/>
        </w:rPr>
        <w:t>via</w:t>
      </w:r>
      <w:r w:rsidR="009B584C" w:rsidRPr="008036A1">
        <w:rPr>
          <w:rFonts w:ascii="Bookman Old Style" w:hAnsi="Bookman Old Style" w:cs="Times New Roman"/>
        </w:rPr>
        <w:t xml:space="preserve"> </w:t>
      </w:r>
      <w:r w:rsidR="005A6E61">
        <w:rPr>
          <w:rFonts w:ascii="Bookman Old Style" w:hAnsi="Bookman Old Style" w:cs="Times New Roman"/>
        </w:rPr>
        <w:t>le</w:t>
      </w:r>
      <w:r w:rsidRPr="008036A1">
        <w:rPr>
          <w:rFonts w:ascii="Bookman Old Style" w:hAnsi="Bookman Old Style" w:cs="Times New Roman"/>
        </w:rPr>
        <w:t xml:space="preserve"> programme de recherches en économie du droit de</w:t>
      </w:r>
      <w:r w:rsidR="005A6E61">
        <w:rPr>
          <w:rFonts w:ascii="Bookman Old Style" w:hAnsi="Bookman Old Style" w:cs="Times New Roman"/>
        </w:rPr>
        <w:t xml:space="preserve"> son </w:t>
      </w:r>
      <w:r w:rsidRPr="008036A1">
        <w:rPr>
          <w:rFonts w:ascii="Bookman Old Style" w:hAnsi="Bookman Old Style" w:cs="Times New Roman"/>
        </w:rPr>
        <w:t xml:space="preserve">axe </w:t>
      </w:r>
      <w:r w:rsidR="00DC68AC">
        <w:rPr>
          <w:rFonts w:ascii="Bookman Old Style" w:hAnsi="Bookman Old Style" w:cs="Times New Roman"/>
        </w:rPr>
        <w:t>DIR :</w:t>
      </w:r>
      <w:r w:rsidR="00DC68AC" w:rsidRPr="008036A1">
        <w:rPr>
          <w:rFonts w:ascii="Bookman Old Style" w:hAnsi="Bookman Old Style" w:cs="Times New Roman"/>
        </w:rPr>
        <w:t xml:space="preserve"> </w:t>
      </w:r>
      <w:r w:rsidRPr="008036A1">
        <w:rPr>
          <w:rFonts w:ascii="Bookman Old Style" w:hAnsi="Bookman Old Style" w:cs="Times New Roman"/>
        </w:rPr>
        <w:t>« Droit, Institutions, Réglementation »</w:t>
      </w:r>
      <w:r w:rsidR="005A6E61">
        <w:rPr>
          <w:rFonts w:ascii="Bookman Old Style" w:hAnsi="Bookman Old Style" w:cs="Times New Roman"/>
        </w:rPr>
        <w:t xml:space="preserve"> </w:t>
      </w:r>
      <w:hyperlink r:id="rId13" w:history="1">
        <w:r w:rsidR="006B3646" w:rsidRPr="008036A1">
          <w:rPr>
            <w:rStyle w:val="Lienhypertexte"/>
            <w:rFonts w:ascii="Bookman Old Style" w:hAnsi="Bookman Old Style" w:cs="Times New Roman"/>
          </w:rPr>
          <w:t>http://economix.fr/fr/axes/dir/</w:t>
        </w:r>
      </w:hyperlink>
      <w:r w:rsidR="00095A1B">
        <w:rPr>
          <w:rFonts w:ascii="Bookman Old Style" w:hAnsi="Bookman Old Style" w:cs="Times New Roman"/>
        </w:rPr>
        <w:t>.</w:t>
      </w:r>
      <w:r w:rsidR="00960054" w:rsidRPr="008036A1">
        <w:rPr>
          <w:rFonts w:ascii="Bookman Old Style" w:hAnsi="Bookman Old Style" w:cs="Times New Roman"/>
        </w:rPr>
        <w:t xml:space="preserve"> </w:t>
      </w:r>
      <w:r w:rsidR="005A6E61">
        <w:rPr>
          <w:rFonts w:ascii="Bookman Old Style" w:hAnsi="Bookman Old Style" w:cs="Times New Roman"/>
        </w:rPr>
        <w:t>Il s’appui</w:t>
      </w:r>
      <w:r w:rsidR="00212C73">
        <w:rPr>
          <w:rFonts w:ascii="Bookman Old Style" w:hAnsi="Bookman Old Style" w:cs="Times New Roman"/>
        </w:rPr>
        <w:t>e</w:t>
      </w:r>
      <w:r w:rsidR="005A6E61">
        <w:rPr>
          <w:rFonts w:ascii="Bookman Old Style" w:hAnsi="Bookman Old Style" w:cs="Times New Roman"/>
        </w:rPr>
        <w:t xml:space="preserve"> aussi sur</w:t>
      </w:r>
      <w:r w:rsidR="005A6E61" w:rsidRPr="008036A1">
        <w:rPr>
          <w:rFonts w:ascii="Bookman Old Style" w:hAnsi="Bookman Old Style" w:cs="Times New Roman"/>
        </w:rPr>
        <w:t xml:space="preserve"> le</w:t>
      </w:r>
      <w:r w:rsidR="004472FC">
        <w:rPr>
          <w:rFonts w:ascii="Bookman Old Style" w:hAnsi="Bookman Old Style" w:cs="Times New Roman"/>
        </w:rPr>
        <w:t>s</w:t>
      </w:r>
      <w:r w:rsidR="005A6E61" w:rsidRPr="008036A1">
        <w:rPr>
          <w:rFonts w:ascii="Bookman Old Style" w:hAnsi="Bookman Old Style" w:cs="Times New Roman"/>
        </w:rPr>
        <w:t xml:space="preserve"> programme</w:t>
      </w:r>
      <w:r w:rsidR="004472FC">
        <w:rPr>
          <w:rFonts w:ascii="Bookman Old Style" w:hAnsi="Bookman Old Style" w:cs="Times New Roman"/>
        </w:rPr>
        <w:t>s de recherche associés au projet</w:t>
      </w:r>
      <w:r w:rsidR="005A6E61" w:rsidRPr="008036A1">
        <w:rPr>
          <w:rFonts w:ascii="Bookman Old Style" w:hAnsi="Bookman Old Style" w:cs="Times New Roman"/>
        </w:rPr>
        <w:t xml:space="preserve"> « </w:t>
      </w:r>
      <w:r w:rsidR="005A6E61">
        <w:rPr>
          <w:rFonts w:ascii="Bookman Old Style" w:hAnsi="Bookman Old Style" w:cs="Times New Roman"/>
        </w:rPr>
        <w:t xml:space="preserve">Conflits, litiges, criminalités : </w:t>
      </w:r>
      <w:r w:rsidR="005A6E61" w:rsidRPr="008036A1">
        <w:rPr>
          <w:rFonts w:ascii="Bookman Old Style" w:hAnsi="Bookman Old Style" w:cs="Times New Roman"/>
        </w:rPr>
        <w:t xml:space="preserve">Recherches sur la sécurité juridique en Europe » </w:t>
      </w:r>
      <w:r w:rsidR="005A6E61">
        <w:rPr>
          <w:rFonts w:ascii="Bookman Old Style" w:hAnsi="Bookman Old Style" w:cs="Times New Roman"/>
        </w:rPr>
        <w:t>(responsable : Eric Langlais)</w:t>
      </w:r>
      <w:r w:rsidR="005A6E61" w:rsidRPr="008036A1">
        <w:rPr>
          <w:rFonts w:ascii="Bookman Old Style" w:hAnsi="Bookman Old Style" w:cs="Times New Roman"/>
        </w:rPr>
        <w:t xml:space="preserve"> hébergé par l’Université Paris Lumières (</w:t>
      </w:r>
      <w:r w:rsidR="00104F73">
        <w:rPr>
          <w:rFonts w:ascii="Bookman Old Style" w:hAnsi="Bookman Old Style" w:cs="Times New Roman"/>
        </w:rPr>
        <w:t>COMUE</w:t>
      </w:r>
      <w:r w:rsidR="005A6E61" w:rsidRPr="008036A1">
        <w:rPr>
          <w:rFonts w:ascii="Bookman Old Style" w:hAnsi="Bookman Old Style" w:cs="Times New Roman"/>
        </w:rPr>
        <w:t xml:space="preserve"> Paris 8-Paris Ouest</w:t>
      </w:r>
      <w:r w:rsidR="005A6E61" w:rsidRPr="00095A1B">
        <w:rPr>
          <w:rFonts w:ascii="Bookman Old Style" w:hAnsi="Bookman Old Style" w:cs="Times New Roman"/>
        </w:rPr>
        <w:t>).</w:t>
      </w:r>
      <w:r w:rsidR="005A6E61">
        <w:rPr>
          <w:rFonts w:ascii="Bookman Old Style" w:hAnsi="Bookman Old Style" w:cs="Times New Roman"/>
        </w:rPr>
        <w:t xml:space="preserve"> </w:t>
      </w:r>
      <w:r w:rsidR="00792BFF">
        <w:rPr>
          <w:rFonts w:ascii="Bookman Old Style" w:hAnsi="Bookman Old Style" w:cs="Times New Roman"/>
        </w:rPr>
        <w:t xml:space="preserve">Enfin, le Master </w:t>
      </w:r>
      <w:r w:rsidR="00104F73">
        <w:rPr>
          <w:rFonts w:ascii="Bookman Old Style" w:hAnsi="Bookman Old Style" w:cs="Times New Roman"/>
        </w:rPr>
        <w:t>relève</w:t>
      </w:r>
      <w:r w:rsidR="00792BFF">
        <w:rPr>
          <w:rFonts w:ascii="Bookman Old Style" w:hAnsi="Bookman Old Style" w:cs="Times New Roman"/>
        </w:rPr>
        <w:t xml:space="preserve"> de </w:t>
      </w:r>
      <w:r w:rsidR="00792BFF" w:rsidRPr="00095A1B">
        <w:rPr>
          <w:rFonts w:ascii="Bookman Old Style" w:eastAsia="Times New Roman" w:hAnsi="Bookman Old Style" w:cs="Times New Roman"/>
          <w:color w:val="000000"/>
          <w:lang w:eastAsia="fr-FR"/>
        </w:rPr>
        <w:t>l’Ecole Doctorale « Economie, Organisations, Société </w:t>
      </w:r>
      <w:r w:rsidR="00792BFF" w:rsidRPr="00095A1B">
        <w:rPr>
          <w:rFonts w:ascii="Bookman Old Style" w:eastAsia="Times New Roman" w:hAnsi="Bookman Old Style" w:cs="Times New Roman"/>
          <w:b/>
          <w:color w:val="000000"/>
          <w:lang w:eastAsia="fr-FR"/>
        </w:rPr>
        <w:t>»</w:t>
      </w:r>
      <w:r w:rsidR="00792BFF" w:rsidRPr="00095A1B">
        <w:rPr>
          <w:rFonts w:ascii="Bookman Old Style" w:eastAsia="Times New Roman" w:hAnsi="Bookman Old Style" w:cs="Times New Roman"/>
          <w:color w:val="000000"/>
          <w:lang w:eastAsia="fr-FR"/>
        </w:rPr>
        <w:t xml:space="preserve"> de </w:t>
      </w:r>
      <w:r w:rsidR="00792BFF" w:rsidRPr="00095A1B">
        <w:rPr>
          <w:rFonts w:ascii="Bookman Old Style" w:eastAsia="Times New Roman" w:hAnsi="Bookman Old Style" w:cs="Times New Roman"/>
          <w:color w:val="000000"/>
          <w:lang w:eastAsia="fr-FR"/>
        </w:rPr>
        <w:lastRenderedPageBreak/>
        <w:t>l’Université Paris Ouest</w:t>
      </w:r>
      <w:r w:rsidR="00792BFF">
        <w:rPr>
          <w:rFonts w:ascii="Bookman Old Style" w:eastAsia="Times New Roman" w:hAnsi="Bookman Old Style" w:cs="Times New Roman"/>
          <w:color w:val="000000"/>
          <w:lang w:eastAsia="fr-FR"/>
        </w:rPr>
        <w:t xml:space="preserve">, </w:t>
      </w:r>
      <w:r w:rsidR="00AC452B">
        <w:rPr>
          <w:rFonts w:ascii="Bookman Old Style" w:eastAsia="Times New Roman" w:hAnsi="Bookman Old Style" w:cs="Times New Roman"/>
          <w:color w:val="000000"/>
          <w:lang w:eastAsia="fr-FR"/>
        </w:rPr>
        <w:t>qui permet</w:t>
      </w:r>
      <w:r w:rsidR="00792BFF">
        <w:rPr>
          <w:rFonts w:ascii="Bookman Old Style" w:hAnsi="Bookman Old Style" w:cs="Times New Roman"/>
        </w:rPr>
        <w:t xml:space="preserve"> l</w:t>
      </w:r>
      <w:r w:rsidR="00095A1B">
        <w:rPr>
          <w:rFonts w:ascii="Bookman Old Style" w:hAnsi="Bookman Old Style" w:cs="Times New Roman"/>
        </w:rPr>
        <w:t xml:space="preserve">a poursuite au niveau des études doctorales et </w:t>
      </w:r>
      <w:r w:rsidR="00792BFF">
        <w:rPr>
          <w:rFonts w:ascii="Bookman Old Style" w:hAnsi="Bookman Old Style" w:cs="Times New Roman"/>
        </w:rPr>
        <w:t>la préparation de</w:t>
      </w:r>
      <w:r w:rsidR="00095A1B">
        <w:rPr>
          <w:rFonts w:ascii="Bookman Old Style" w:hAnsi="Bookman Old Style" w:cs="Times New Roman"/>
        </w:rPr>
        <w:t xml:space="preserve"> la thèse de doctorat</w:t>
      </w:r>
      <w:r w:rsidR="00095A1B" w:rsidRPr="00095A1B">
        <w:rPr>
          <w:rFonts w:ascii="Bookman Old Style" w:eastAsia="Times New Roman" w:hAnsi="Bookman Old Style" w:cs="Times New Roman"/>
          <w:color w:val="000000"/>
          <w:lang w:eastAsia="fr-FR"/>
        </w:rPr>
        <w:t>.</w:t>
      </w:r>
      <w:r w:rsidR="00095A1B">
        <w:rPr>
          <w:rFonts w:ascii="Bookman Old Style" w:hAnsi="Bookman Old Style" w:cs="Times New Roman"/>
        </w:rPr>
        <w:t xml:space="preserve"> </w:t>
      </w:r>
      <w:r w:rsidR="00095A1B" w:rsidRPr="00095A1B">
        <w:rPr>
          <w:rFonts w:ascii="Bookman Old Style" w:hAnsi="Bookman Old Style" w:cs="Times New Roman"/>
        </w:rPr>
        <w:t xml:space="preserve"> </w:t>
      </w:r>
    </w:p>
    <w:p w:rsidR="00217553" w:rsidRDefault="00E84B51" w:rsidP="00C67EBA">
      <w:pPr>
        <w:jc w:val="center"/>
        <w:rPr>
          <w:rFonts w:ascii="Bookman Old Style" w:hAnsi="Bookman Old Style" w:cs="Times New Roman"/>
          <w:sz w:val="16"/>
          <w:szCs w:val="16"/>
        </w:rPr>
      </w:pPr>
      <w:r w:rsidRPr="00582626">
        <w:rPr>
          <w:rFonts w:ascii="Bookman Old Style" w:hAnsi="Bookman Old Style"/>
          <w:noProof/>
          <w:sz w:val="16"/>
          <w:szCs w:val="16"/>
          <w:lang w:eastAsia="fr-FR"/>
        </w:rPr>
        <w:drawing>
          <wp:inline distT="0" distB="0" distL="0" distR="0">
            <wp:extent cx="2165894" cy="824948"/>
            <wp:effectExtent l="19050" t="0" r="5806" b="0"/>
            <wp:docPr id="2" name="Image 1" descr="Description : SSD 128:Users:brunochaves:Sites:_sources:EconomiX:15-Divers_EconomiX:logo:pour-beatrice:logo_CNRS-Paris-Naneterre-UMR-72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Description : SSD 128:Users:brunochaves:Sites:_sources:EconomiX:15-Divers_EconomiX:logo:pour-beatrice:logo_CNRS-Paris-Naneterre-UMR-7235.png"/>
                    <pic:cNvPicPr>
                      <a:picLocks noChangeAspect="1" noChangeArrowheads="1"/>
                    </pic:cNvPicPr>
                  </pic:nvPicPr>
                  <pic:blipFill>
                    <a:blip r:embed="rId14" cstate="print"/>
                    <a:srcRect/>
                    <a:stretch>
                      <a:fillRect/>
                    </a:stretch>
                  </pic:blipFill>
                  <pic:spPr bwMode="auto">
                    <a:xfrm>
                      <a:off x="0" y="0"/>
                      <a:ext cx="2166130" cy="825038"/>
                    </a:xfrm>
                    <a:prstGeom prst="rect">
                      <a:avLst/>
                    </a:prstGeom>
                    <a:noFill/>
                    <a:ln w="9525">
                      <a:noFill/>
                      <a:miter lim="800000"/>
                      <a:headEnd/>
                      <a:tailEnd/>
                    </a:ln>
                  </pic:spPr>
                </pic:pic>
              </a:graphicData>
            </a:graphic>
          </wp:inline>
        </w:drawing>
      </w:r>
      <w:r w:rsidR="00C67EBA" w:rsidRPr="00582626">
        <w:rPr>
          <w:rFonts w:ascii="Bookman Old Style" w:hAnsi="Bookman Old Style" w:cs="Times New Roman"/>
          <w:noProof/>
          <w:sz w:val="16"/>
          <w:szCs w:val="16"/>
          <w:lang w:eastAsia="fr-FR"/>
        </w:rPr>
        <w:drawing>
          <wp:inline distT="0" distB="0" distL="0" distR="0">
            <wp:extent cx="809487" cy="828740"/>
            <wp:effectExtent l="19050" t="0" r="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cstate="print"/>
                    <a:srcRect/>
                    <a:stretch>
                      <a:fillRect/>
                    </a:stretch>
                  </pic:blipFill>
                  <pic:spPr bwMode="auto">
                    <a:xfrm>
                      <a:off x="0" y="0"/>
                      <a:ext cx="821463" cy="841001"/>
                    </a:xfrm>
                    <a:prstGeom prst="rect">
                      <a:avLst/>
                    </a:prstGeom>
                    <a:noFill/>
                    <a:ln w="9525">
                      <a:noFill/>
                      <a:miter lim="800000"/>
                      <a:headEnd/>
                      <a:tailEnd/>
                    </a:ln>
                  </pic:spPr>
                </pic:pic>
              </a:graphicData>
            </a:graphic>
          </wp:inline>
        </w:drawing>
      </w:r>
      <w:r w:rsidR="00107457" w:rsidRPr="00FC1FC2">
        <w:rPr>
          <w:rFonts w:ascii="Bookman Old Style" w:hAnsi="Bookman Old Style" w:cs="Times New Roman"/>
          <w:noProof/>
          <w:sz w:val="16"/>
          <w:szCs w:val="16"/>
          <w:lang w:eastAsia="fr-FR"/>
        </w:rPr>
        <w:drawing>
          <wp:inline distT="0" distB="0" distL="0" distR="0">
            <wp:extent cx="705678" cy="1023730"/>
            <wp:effectExtent l="19050" t="0" r="0" b="0"/>
            <wp:docPr id="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711366" cy="1031982"/>
                    </a:xfrm>
                    <a:prstGeom prst="rect">
                      <a:avLst/>
                    </a:prstGeom>
                    <a:noFill/>
                    <a:ln w="9525">
                      <a:noFill/>
                      <a:miter lim="800000"/>
                      <a:headEnd/>
                      <a:tailEnd/>
                    </a:ln>
                  </pic:spPr>
                </pic:pic>
              </a:graphicData>
            </a:graphic>
          </wp:inline>
        </w:drawing>
      </w:r>
      <w:r w:rsidR="00C67EBA" w:rsidRPr="00582626">
        <w:rPr>
          <w:rFonts w:ascii="Bookman Old Style" w:hAnsi="Bookman Old Style" w:cs="Times New Roman"/>
          <w:noProof/>
          <w:sz w:val="16"/>
          <w:szCs w:val="16"/>
          <w:lang w:eastAsia="fr-FR"/>
        </w:rPr>
        <w:drawing>
          <wp:inline distT="0" distB="0" distL="0" distR="0">
            <wp:extent cx="1422124" cy="820570"/>
            <wp:effectExtent l="19050" t="0" r="6626" b="0"/>
            <wp:docPr id="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srcRect/>
                    <a:stretch>
                      <a:fillRect/>
                    </a:stretch>
                  </pic:blipFill>
                  <pic:spPr bwMode="auto">
                    <a:xfrm>
                      <a:off x="0" y="0"/>
                      <a:ext cx="1432387" cy="826492"/>
                    </a:xfrm>
                    <a:prstGeom prst="rect">
                      <a:avLst/>
                    </a:prstGeom>
                    <a:noFill/>
                    <a:ln w="9525">
                      <a:noFill/>
                      <a:miter lim="800000"/>
                      <a:headEnd/>
                      <a:tailEnd/>
                    </a:ln>
                  </pic:spPr>
                </pic:pic>
              </a:graphicData>
            </a:graphic>
          </wp:inline>
        </w:drawing>
      </w:r>
    </w:p>
    <w:p w:rsidR="00241816" w:rsidRPr="00EF5BFA" w:rsidRDefault="00241816" w:rsidP="00241816">
      <w:pPr>
        <w:spacing w:after="0"/>
        <w:jc w:val="both"/>
        <w:rPr>
          <w:rFonts w:ascii="Bookman Old Style" w:hAnsi="Bookman Old Style" w:cs="Times New Roman"/>
          <w:lang w:val="en-US"/>
        </w:rPr>
      </w:pPr>
      <w:r>
        <w:rPr>
          <w:rFonts w:ascii="Bookman Old Style" w:hAnsi="Bookman Old Style" w:cs="Times New Roman"/>
        </w:rPr>
        <w:t xml:space="preserve">Le </w:t>
      </w:r>
      <w:r w:rsidR="00D04F2C">
        <w:rPr>
          <w:rFonts w:ascii="Bookman Old Style" w:hAnsi="Bookman Old Style" w:cs="Times New Roman"/>
        </w:rPr>
        <w:t xml:space="preserve">Master </w:t>
      </w:r>
      <w:r>
        <w:rPr>
          <w:rFonts w:ascii="Bookman Old Style" w:hAnsi="Bookman Old Style" w:cs="Times New Roman"/>
        </w:rPr>
        <w:t>bénéficie ainsi des</w:t>
      </w:r>
      <w:r w:rsidR="007477A4" w:rsidRPr="008036A1">
        <w:rPr>
          <w:rFonts w:ascii="Bookman Old Style" w:hAnsi="Bookman Old Style" w:cs="Times New Roman"/>
        </w:rPr>
        <w:t xml:space="preserve"> synergie</w:t>
      </w:r>
      <w:r>
        <w:rPr>
          <w:rFonts w:ascii="Bookman Old Style" w:hAnsi="Bookman Old Style" w:cs="Times New Roman"/>
        </w:rPr>
        <w:t>s entre</w:t>
      </w:r>
      <w:r w:rsidR="007477A4" w:rsidRPr="008036A1">
        <w:rPr>
          <w:rFonts w:ascii="Bookman Old Style" w:hAnsi="Bookman Old Style" w:cs="Times New Roman"/>
        </w:rPr>
        <w:t xml:space="preserve"> le réseau de partenaires académiques internationaux de l’axe DIR-EconomiX </w:t>
      </w:r>
      <w:r w:rsidRPr="00453060">
        <w:rPr>
          <w:rFonts w:ascii="Bookman Old Style" w:hAnsi="Bookman Old Style" w:cs="Times New Roman"/>
        </w:rPr>
        <w:t>et celui de ses partenaires professionnels</w:t>
      </w:r>
      <w:r>
        <w:rPr>
          <w:rFonts w:ascii="Bookman Old Style" w:hAnsi="Bookman Old Style" w:cs="Times New Roman"/>
        </w:rPr>
        <w:t>,</w:t>
      </w:r>
      <w:r w:rsidRPr="00453060">
        <w:rPr>
          <w:rFonts w:ascii="Bookman Old Style" w:hAnsi="Bookman Old Style" w:cs="Times New Roman"/>
        </w:rPr>
        <w:t xml:space="preserve"> qui contribuent à l’animation pédagogique du Master dans le cadre de ses séminaires, du cycle de conférences en </w:t>
      </w:r>
      <w:r w:rsidRPr="00453060">
        <w:rPr>
          <w:rFonts w:ascii="Bookman Old Style" w:hAnsi="Bookman Old Style" w:cs="Times New Roman"/>
          <w:i/>
        </w:rPr>
        <w:t>Law &amp; Economics</w:t>
      </w:r>
      <w:r w:rsidRPr="00453060">
        <w:rPr>
          <w:rFonts w:ascii="Bookman Old Style" w:hAnsi="Bookman Old Style" w:cs="Times New Roman"/>
        </w:rPr>
        <w:t xml:space="preserve"> et de l’atelier pratique d’expertise</w:t>
      </w:r>
      <w:r>
        <w:rPr>
          <w:rFonts w:ascii="Bookman Old Style" w:hAnsi="Bookman Old Style" w:cs="Times New Roman"/>
        </w:rPr>
        <w:t>,</w:t>
      </w:r>
      <w:r w:rsidRPr="00453060">
        <w:rPr>
          <w:rFonts w:ascii="Bookman Old Style" w:hAnsi="Bookman Old Style" w:cs="Times New Roman"/>
        </w:rPr>
        <w:t xml:space="preserve"> qui font partie de la formation dispensée. Ce réseau de partenaires professionnels accueille aussi chaque année des étudiants du master en stage</w:t>
      </w:r>
      <w:r>
        <w:rPr>
          <w:rFonts w:ascii="Bookman Old Style" w:hAnsi="Bookman Old Style" w:cs="Times New Roman"/>
        </w:rPr>
        <w:t>.</w:t>
      </w:r>
      <w:r w:rsidRPr="00453060">
        <w:rPr>
          <w:rFonts w:ascii="Bookman Old Style" w:hAnsi="Bookman Old Style" w:cs="Times New Roman"/>
        </w:rPr>
        <w:t xml:space="preserve"> </w:t>
      </w:r>
      <w:r w:rsidRPr="00EF5BFA">
        <w:rPr>
          <w:rFonts w:ascii="Bookman Old Style" w:hAnsi="Bookman Old Style" w:cs="Times New Roman"/>
          <w:b/>
          <w:i/>
          <w:lang w:val="en-US"/>
        </w:rPr>
        <w:t>Partenaires académiques :</w:t>
      </w:r>
      <w:r w:rsidRPr="00EF5BFA">
        <w:rPr>
          <w:rFonts w:ascii="Bookman Old Style" w:hAnsi="Bookman Old Style" w:cs="Times New Roman"/>
          <w:lang w:val="en-US"/>
        </w:rPr>
        <w:t xml:space="preserve"> </w:t>
      </w:r>
      <w:r w:rsidR="0079323B" w:rsidRPr="00EF5BFA">
        <w:rPr>
          <w:rFonts w:ascii="Bookman Old Style" w:hAnsi="Bookman Old Style" w:cs="Times New Roman"/>
          <w:lang w:val="en-US"/>
        </w:rPr>
        <w:t>l’</w:t>
      </w:r>
      <w:r w:rsidR="008F1537" w:rsidRPr="00EF5BFA">
        <w:rPr>
          <w:rFonts w:ascii="Bookman Old Style" w:hAnsi="Bookman Old Style" w:cs="Times New Roman"/>
          <w:lang w:val="en-US"/>
        </w:rPr>
        <w:t>Europ</w:t>
      </w:r>
      <w:r w:rsidR="0079323B" w:rsidRPr="00EF5BFA">
        <w:rPr>
          <w:rFonts w:ascii="Bookman Old Style" w:hAnsi="Bookman Old Style" w:cs="Times New Roman"/>
          <w:lang w:val="en-US"/>
        </w:rPr>
        <w:t xml:space="preserve">ean Association of Law &amp; Economics ; l’American Law &amp; Economics Association ; </w:t>
      </w:r>
      <w:r w:rsidR="00E62311" w:rsidRPr="00EF5BFA">
        <w:rPr>
          <w:rFonts w:ascii="Bookman Old Style" w:hAnsi="Bookman Old Style" w:cs="Times New Roman"/>
          <w:lang w:val="en-US"/>
        </w:rPr>
        <w:t>réseau CLEEN</w:t>
      </w:r>
      <w:r w:rsidR="00453060" w:rsidRPr="00EF5BFA">
        <w:rPr>
          <w:rFonts w:ascii="Bookman Old Style" w:hAnsi="Bookman Old Style" w:cs="Times New Roman"/>
          <w:lang w:val="en-US"/>
        </w:rPr>
        <w:t xml:space="preserve">- </w:t>
      </w:r>
      <w:r w:rsidR="00453060" w:rsidRPr="00EF5BFA">
        <w:rPr>
          <w:rFonts w:ascii="Bookman Old Style" w:hAnsi="Bookman Old Style" w:cs="Times New Roman"/>
          <w:bCs/>
          <w:lang w:val="en-US" w:eastAsia="fr-FR"/>
        </w:rPr>
        <w:t>Competition Law and Economics European Network ;</w:t>
      </w:r>
      <w:r w:rsidR="00453060" w:rsidRPr="00453060">
        <w:rPr>
          <w:rFonts w:ascii="Bookman Old Style" w:hAnsi="Bookman Old Style" w:cs="Times New Roman"/>
          <w:lang w:val="en-US" w:eastAsia="fr-FR"/>
        </w:rPr>
        <w:t xml:space="preserve"> </w:t>
      </w:r>
      <w:r w:rsidR="00E83197">
        <w:rPr>
          <w:rFonts w:ascii="Bookman Old Style" w:hAnsi="Bookman Old Style" w:cs="Times New Roman"/>
          <w:lang w:val="en-US" w:eastAsia="fr-FR"/>
        </w:rPr>
        <w:t xml:space="preserve">centres de recherches : </w:t>
      </w:r>
      <w:r w:rsidR="00453060" w:rsidRPr="00453060">
        <w:rPr>
          <w:rFonts w:ascii="Bookman Old Style" w:hAnsi="Bookman Old Style" w:cs="Times New Roman"/>
          <w:lang w:val="en-US" w:eastAsia="fr-FR"/>
        </w:rPr>
        <w:t xml:space="preserve">the </w:t>
      </w:r>
      <w:hyperlink r:id="rId18" w:tgtFrame="_blank" w:tooltip="Opens external link in new window" w:history="1">
        <w:r w:rsidR="00453060" w:rsidRPr="00453060">
          <w:rPr>
            <w:rFonts w:ascii="Bookman Old Style" w:hAnsi="Bookman Old Style" w:cs="Times New Roman"/>
            <w:color w:val="0000FF"/>
            <w:u w:val="single"/>
            <w:lang w:val="en-US" w:eastAsia="fr-FR"/>
          </w:rPr>
          <w:t>Amsterdam Ce</w:t>
        </w:r>
        <w:r w:rsidR="00E83197">
          <w:rPr>
            <w:rFonts w:ascii="Bookman Old Style" w:hAnsi="Bookman Old Style" w:cs="Times New Roman"/>
            <w:color w:val="0000FF"/>
            <w:u w:val="single"/>
            <w:lang w:val="en-US" w:eastAsia="fr-FR"/>
          </w:rPr>
          <w:t>nter for Law and Economics</w:t>
        </w:r>
      </w:hyperlink>
      <w:r w:rsidR="00E83197">
        <w:rPr>
          <w:rFonts w:ascii="Bookman Old Style" w:hAnsi="Bookman Old Style" w:cs="Times New Roman"/>
          <w:lang w:val="en-US" w:eastAsia="fr-FR"/>
        </w:rPr>
        <w:t xml:space="preserve"> (Amsterdam) ; </w:t>
      </w:r>
      <w:r w:rsidR="00453060" w:rsidRPr="00453060">
        <w:rPr>
          <w:rFonts w:ascii="Bookman Old Style" w:hAnsi="Bookman Old Style" w:cs="Times New Roman"/>
          <w:color w:val="0000FF"/>
          <w:u w:val="single"/>
          <w:lang w:val="en-US" w:eastAsia="fr-FR"/>
        </w:rPr>
        <w:t>Bergen Center for Compe</w:t>
      </w:r>
      <w:r w:rsidR="00E83197">
        <w:rPr>
          <w:rFonts w:ascii="Bookman Old Style" w:hAnsi="Bookman Old Style" w:cs="Times New Roman"/>
          <w:color w:val="0000FF"/>
          <w:u w:val="single"/>
          <w:lang w:val="en-US" w:eastAsia="fr-FR"/>
        </w:rPr>
        <w:t>tition Law and Economics</w:t>
      </w:r>
      <w:r w:rsidR="00453060" w:rsidRPr="00453060">
        <w:rPr>
          <w:rFonts w:ascii="Bookman Old Style" w:hAnsi="Bookman Old Style" w:cs="Times New Roman"/>
          <w:lang w:val="en-US" w:eastAsia="fr-FR"/>
        </w:rPr>
        <w:t xml:space="preserve"> (Bergen); the </w:t>
      </w:r>
      <w:hyperlink r:id="rId19" w:tgtFrame="_blank" w:tooltip="Opens external&lt;br /&gt;                 link in new window" w:history="1">
        <w:r w:rsidR="00453060" w:rsidRPr="00453060">
          <w:rPr>
            <w:rFonts w:ascii="Bookman Old Style" w:hAnsi="Bookman Old Style" w:cs="Times New Roman"/>
            <w:color w:val="0000FF"/>
            <w:u w:val="single"/>
            <w:lang w:val="en-US" w:eastAsia="fr-FR"/>
          </w:rPr>
          <w:t>Centre for Infocommunication Law at the Hungarian Academy of Sciences</w:t>
        </w:r>
      </w:hyperlink>
      <w:r w:rsidR="00453060" w:rsidRPr="00453060">
        <w:rPr>
          <w:rFonts w:ascii="Bookman Old Style" w:hAnsi="Bookman Old Style" w:cs="Times New Roman"/>
          <w:lang w:val="en-US" w:eastAsia="fr-FR"/>
        </w:rPr>
        <w:t xml:space="preserve">, (Budapest); the </w:t>
      </w:r>
      <w:hyperlink r:id="rId20" w:tgtFrame="_blank" w:tooltip="Opens external link in new window" w:history="1">
        <w:r w:rsidR="00453060" w:rsidRPr="00453060">
          <w:rPr>
            <w:rFonts w:ascii="Bookman Old Style" w:hAnsi="Bookman Old Style" w:cs="Times New Roman"/>
            <w:color w:val="0000FF"/>
            <w:u w:val="single"/>
            <w:lang w:val="en-US" w:eastAsia="fr-FR"/>
          </w:rPr>
          <w:t>Ce</w:t>
        </w:r>
        <w:r w:rsidR="00E83197">
          <w:rPr>
            <w:rFonts w:ascii="Bookman Old Style" w:hAnsi="Bookman Old Style" w:cs="Times New Roman"/>
            <w:color w:val="0000FF"/>
            <w:u w:val="single"/>
            <w:lang w:val="en-US" w:eastAsia="fr-FR"/>
          </w:rPr>
          <w:t>ntre for Competition Policy</w:t>
        </w:r>
      </w:hyperlink>
      <w:r w:rsidR="00453060" w:rsidRPr="00453060">
        <w:rPr>
          <w:rFonts w:ascii="Bookman Old Style" w:hAnsi="Bookman Old Style" w:cs="Times New Roman"/>
          <w:lang w:val="en-US" w:eastAsia="fr-FR"/>
        </w:rPr>
        <w:t xml:space="preserve"> (East Anglia); the </w:t>
      </w:r>
      <w:hyperlink r:id="rId21" w:tgtFrame="_blank" w:tooltip="Opens external link in new window" w:history="1">
        <w:r w:rsidR="00453060" w:rsidRPr="00453060">
          <w:rPr>
            <w:rFonts w:ascii="Bookman Old Style" w:hAnsi="Bookman Old Style" w:cs="Times New Roman"/>
            <w:color w:val="0000FF"/>
            <w:u w:val="single"/>
            <w:lang w:val="en-US" w:eastAsia="fr-FR"/>
          </w:rPr>
          <w:t>Centre for Market and Public Organization</w:t>
        </w:r>
      </w:hyperlink>
      <w:r w:rsidR="00453060" w:rsidRPr="00453060">
        <w:rPr>
          <w:rFonts w:ascii="Bookman Old Style" w:hAnsi="Bookman Old Style" w:cs="Times New Roman"/>
          <w:lang w:val="en-US" w:eastAsia="fr-FR"/>
        </w:rPr>
        <w:t xml:space="preserve"> (Bristol); the </w:t>
      </w:r>
      <w:r w:rsidR="00453060" w:rsidRPr="00453060">
        <w:rPr>
          <w:rFonts w:ascii="Bookman Old Style" w:hAnsi="Bookman Old Style" w:cs="Times New Roman"/>
          <w:color w:val="0000FF"/>
          <w:u w:val="single"/>
          <w:lang w:val="en-US" w:eastAsia="fr-FR"/>
        </w:rPr>
        <w:t>Mannheim Centre</w:t>
      </w:r>
      <w:r w:rsidR="00E83197">
        <w:rPr>
          <w:rFonts w:ascii="Bookman Old Style" w:hAnsi="Bookman Old Style" w:cs="Times New Roman"/>
          <w:color w:val="0000FF"/>
          <w:u w:val="single"/>
          <w:lang w:val="en-US" w:eastAsia="fr-FR"/>
        </w:rPr>
        <w:t xml:space="preserve"> for Competition and Innovation</w:t>
      </w:r>
      <w:r w:rsidR="00453060" w:rsidRPr="00453060">
        <w:rPr>
          <w:rFonts w:ascii="Bookman Old Style" w:hAnsi="Bookman Old Style" w:cs="Times New Roman"/>
          <w:lang w:val="en-US" w:eastAsia="fr-FR"/>
        </w:rPr>
        <w:t xml:space="preserve"> (Mannheim); the </w:t>
      </w:r>
      <w:hyperlink r:id="rId22" w:tgtFrame="_blank" w:tooltip="Opens&lt;br /&gt;&#10;                external link in new window" w:history="1">
        <w:r w:rsidR="00453060" w:rsidRPr="00453060">
          <w:rPr>
            <w:rFonts w:ascii="Bookman Old Style" w:hAnsi="Bookman Old Style" w:cs="Times New Roman"/>
            <w:color w:val="0000FF"/>
            <w:u w:val="single"/>
            <w:lang w:val="en-US" w:eastAsia="fr-FR"/>
          </w:rPr>
          <w:t>Max-Planck Institute for Research on Collective Goods</w:t>
        </w:r>
      </w:hyperlink>
      <w:r w:rsidR="00453060" w:rsidRPr="00453060">
        <w:rPr>
          <w:rFonts w:ascii="Bookman Old Style" w:hAnsi="Bookman Old Style" w:cs="Times New Roman"/>
          <w:lang w:val="en-US" w:eastAsia="fr-FR"/>
        </w:rPr>
        <w:t xml:space="preserve">, (Bonn); the </w:t>
      </w:r>
      <w:hyperlink r:id="rId23" w:tgtFrame="_blank" w:tooltip="Opens external link in new window" w:history="1">
        <w:r w:rsidR="00453060" w:rsidRPr="00453060">
          <w:rPr>
            <w:rFonts w:ascii="Bookman Old Style" w:hAnsi="Bookman Old Style" w:cs="Times New Roman"/>
            <w:color w:val="0000FF"/>
            <w:u w:val="single"/>
            <w:lang w:val="en-US" w:eastAsia="fr-FR"/>
          </w:rPr>
          <w:t>Robert Schuman Centre for Advanced Studies</w:t>
        </w:r>
      </w:hyperlink>
      <w:r w:rsidR="00453060" w:rsidRPr="00453060">
        <w:rPr>
          <w:rFonts w:ascii="Bookman Old Style" w:hAnsi="Bookman Old Style" w:cs="Times New Roman"/>
          <w:lang w:val="en-US" w:eastAsia="fr-FR"/>
        </w:rPr>
        <w:t xml:space="preserve"> (European University Institute, Florence); the </w:t>
      </w:r>
      <w:hyperlink r:id="rId24" w:tgtFrame="_blank" w:tooltip="Opens external link in new window" w:history="1">
        <w:r w:rsidR="00453060" w:rsidRPr="00453060">
          <w:rPr>
            <w:rFonts w:ascii="Bookman Old Style" w:hAnsi="Bookman Old Style" w:cs="Times New Roman"/>
            <w:color w:val="0000FF"/>
            <w:u w:val="single"/>
            <w:lang w:val="en-US" w:eastAsia="fr-FR"/>
          </w:rPr>
          <w:t>Tilburg Law and Economic Centre</w:t>
        </w:r>
      </w:hyperlink>
      <w:r w:rsidR="00453060" w:rsidRPr="00453060">
        <w:rPr>
          <w:rFonts w:ascii="Bookman Old Style" w:hAnsi="Bookman Old Style" w:cs="Times New Roman"/>
          <w:lang w:val="en-US" w:eastAsia="fr-FR"/>
        </w:rPr>
        <w:t xml:space="preserve"> (Tilburg) ; </w:t>
      </w:r>
      <w:r w:rsidR="00CD36AE" w:rsidRPr="00EF5BFA">
        <w:rPr>
          <w:rFonts w:ascii="Bookman Old Style" w:hAnsi="Bookman Old Style" w:cs="Times New Roman"/>
          <w:lang w:val="en-US"/>
        </w:rPr>
        <w:t xml:space="preserve">réseau Erasmus in Law &amp; Economics ; </w:t>
      </w:r>
      <w:r w:rsidR="007477A4" w:rsidRPr="00EF5BFA">
        <w:rPr>
          <w:rFonts w:ascii="Bookman Old Style" w:hAnsi="Bookman Old Style" w:cs="Times New Roman"/>
          <w:lang w:val="en-US"/>
        </w:rPr>
        <w:t>universités de Bologne, Rome, Salerne ; Bonn, Hambourg, Kassel ; Amsterdam, Maastricht, Rotterdam ; Laval, Montréal ; Washington, Nashville</w:t>
      </w:r>
      <w:r w:rsidRPr="00EF5BFA">
        <w:rPr>
          <w:rFonts w:ascii="Bookman Old Style" w:hAnsi="Bookman Old Style" w:cs="Times New Roman"/>
          <w:lang w:val="en-US"/>
        </w:rPr>
        <w:t>.</w:t>
      </w:r>
    </w:p>
    <w:p w:rsidR="00C3156E" w:rsidRPr="00453060" w:rsidRDefault="00241816" w:rsidP="007477A4">
      <w:pPr>
        <w:jc w:val="both"/>
        <w:rPr>
          <w:rFonts w:ascii="Bookman Old Style" w:hAnsi="Bookman Old Style" w:cs="Times New Roman"/>
        </w:rPr>
      </w:pPr>
      <w:r w:rsidRPr="00241816">
        <w:rPr>
          <w:rFonts w:ascii="Bookman Old Style" w:hAnsi="Bookman Old Style" w:cs="Times New Roman"/>
          <w:b/>
          <w:i/>
        </w:rPr>
        <w:t>Partenaires professionnels :</w:t>
      </w:r>
      <w:r>
        <w:rPr>
          <w:rFonts w:ascii="Bookman Old Style" w:hAnsi="Bookman Old Style" w:cs="Times New Roman"/>
        </w:rPr>
        <w:t xml:space="preserve"> </w:t>
      </w:r>
      <w:r w:rsidR="007477A4" w:rsidRPr="00453060">
        <w:rPr>
          <w:rFonts w:ascii="Bookman Old Style" w:hAnsi="Bookman Old Style" w:cs="Times New Roman"/>
        </w:rPr>
        <w:t>autorités de régulation sectorielle, cabinets de conseil, institutions privées et publiques</w:t>
      </w:r>
      <w:r w:rsidR="00E32BD1">
        <w:rPr>
          <w:rFonts w:ascii="Bookman Old Style" w:hAnsi="Bookman Old Style" w:cs="Times New Roman"/>
        </w:rPr>
        <w:t xml:space="preserve"> ; </w:t>
      </w:r>
      <w:r w:rsidR="00292710">
        <w:rPr>
          <w:rFonts w:ascii="Bookman Old Style" w:hAnsi="Bookman Old Style" w:cs="Times New Roman"/>
        </w:rPr>
        <w:t xml:space="preserve">dont : </w:t>
      </w:r>
      <w:r w:rsidR="00E32BD1">
        <w:rPr>
          <w:rFonts w:ascii="Bookman Old Style" w:hAnsi="Bookman Old Style"/>
        </w:rPr>
        <w:t xml:space="preserve">Autorité de le Concurrence ; </w:t>
      </w:r>
      <w:r w:rsidR="00E32BD1" w:rsidRPr="007E5A58">
        <w:rPr>
          <w:rFonts w:ascii="Bookman Old Style" w:hAnsi="Bookman Old Style"/>
        </w:rPr>
        <w:t>Cabinet Micr</w:t>
      </w:r>
      <w:r w:rsidR="00E32BD1">
        <w:rPr>
          <w:rFonts w:ascii="Bookman Old Style" w:hAnsi="Bookman Old Style" w:cs="Times New Roman"/>
        </w:rPr>
        <w:t>oe</w:t>
      </w:r>
      <w:r w:rsidR="005D29F7">
        <w:rPr>
          <w:rFonts w:ascii="Bookman Old Style" w:hAnsi="Bookman Old Style" w:cs="Times New Roman"/>
        </w:rPr>
        <w:t>conomix</w:t>
      </w:r>
      <w:r w:rsidR="00E32BD1">
        <w:rPr>
          <w:rFonts w:ascii="Bookman Old Style" w:hAnsi="Bookman Old Style" w:cs="Times New Roman"/>
        </w:rPr>
        <w:t xml:space="preserve"> ; </w:t>
      </w:r>
      <w:r w:rsidR="00E32BD1" w:rsidRPr="007E5A58">
        <w:rPr>
          <w:rFonts w:ascii="Bookman Old Style" w:hAnsi="Bookman Old Style" w:cs="Times New Roman"/>
        </w:rPr>
        <w:t>Liege Competition and Innovation Institute</w:t>
      </w:r>
      <w:r w:rsidR="00E32BD1">
        <w:rPr>
          <w:rFonts w:ascii="Bookman Old Style" w:hAnsi="Bookman Old Style" w:cs="Times New Roman"/>
        </w:rPr>
        <w:t> </w:t>
      </w:r>
      <w:r w:rsidR="00E32BD1">
        <w:rPr>
          <w:rFonts w:ascii="Bookman Old Style" w:hAnsi="Bookman Old Style"/>
        </w:rPr>
        <w:t>; Cabinet</w:t>
      </w:r>
      <w:r>
        <w:rPr>
          <w:rFonts w:ascii="Bookman Old Style" w:hAnsi="Bookman Old Style"/>
        </w:rPr>
        <w:t xml:space="preserve"> MAPP.</w:t>
      </w:r>
    </w:p>
    <w:p w:rsidR="00040A12" w:rsidRDefault="00040A12" w:rsidP="001F00BB">
      <w:pPr>
        <w:spacing w:after="120" w:line="240" w:lineRule="auto"/>
        <w:jc w:val="both"/>
        <w:rPr>
          <w:rFonts w:ascii="Bookman Old Style" w:hAnsi="Bookman Old Style" w:cs="Times New Roman"/>
          <w:b/>
        </w:rPr>
      </w:pPr>
    </w:p>
    <w:p w:rsidR="001F00BB" w:rsidRPr="008036A1" w:rsidRDefault="00C903D4" w:rsidP="001F00BB">
      <w:pPr>
        <w:spacing w:after="120" w:line="240" w:lineRule="auto"/>
        <w:jc w:val="both"/>
        <w:rPr>
          <w:rFonts w:ascii="Bookman Old Style" w:hAnsi="Bookman Old Style" w:cs="Times New Roman"/>
          <w:b/>
        </w:rPr>
      </w:pPr>
      <w:r>
        <w:rPr>
          <w:rFonts w:ascii="Bookman Old Style" w:hAnsi="Bookman Old Style" w:cs="Times New Roman"/>
          <w:b/>
        </w:rPr>
        <w:t>I</w:t>
      </w:r>
      <w:r w:rsidR="001F00BB" w:rsidRPr="008036A1">
        <w:rPr>
          <w:rFonts w:ascii="Bookman Old Style" w:hAnsi="Bookman Old Style" w:cs="Times New Roman"/>
          <w:b/>
        </w:rPr>
        <w:t xml:space="preserve">nstitutions ayant </w:t>
      </w:r>
      <w:r w:rsidR="005E5915">
        <w:rPr>
          <w:rFonts w:ascii="Bookman Old Style" w:hAnsi="Bookman Old Style" w:cs="Times New Roman"/>
          <w:b/>
        </w:rPr>
        <w:t>accueilli en stage</w:t>
      </w:r>
      <w:r w:rsidR="001F00BB" w:rsidRPr="008036A1">
        <w:rPr>
          <w:rFonts w:ascii="Bookman Old Style" w:hAnsi="Bookman Old Style" w:cs="Times New Roman"/>
          <w:b/>
        </w:rPr>
        <w:t xml:space="preserve"> nos </w:t>
      </w:r>
      <w:r w:rsidR="001F00BB">
        <w:rPr>
          <w:rFonts w:ascii="Bookman Old Style" w:hAnsi="Bookman Old Style" w:cs="Times New Roman"/>
          <w:b/>
        </w:rPr>
        <w:t>étudiant</w:t>
      </w:r>
      <w:r w:rsidR="001F00BB" w:rsidRPr="008036A1">
        <w:rPr>
          <w:rFonts w:ascii="Bookman Old Style" w:hAnsi="Bookman Old Style" w:cs="Times New Roman"/>
          <w:b/>
        </w:rPr>
        <w:t>(</w:t>
      </w:r>
      <w:r w:rsidR="001F00BB">
        <w:rPr>
          <w:rFonts w:ascii="Bookman Old Style" w:hAnsi="Bookman Old Style" w:cs="Times New Roman"/>
          <w:b/>
        </w:rPr>
        <w:t>e</w:t>
      </w:r>
      <w:r w:rsidR="001F00BB" w:rsidRPr="008036A1">
        <w:rPr>
          <w:rFonts w:ascii="Bookman Old Style" w:hAnsi="Bookman Old Style" w:cs="Times New Roman"/>
          <w:b/>
        </w:rPr>
        <w:t>)s</w:t>
      </w:r>
      <w:r w:rsidR="007477A4">
        <w:rPr>
          <w:rFonts w:ascii="Bookman Old Style" w:hAnsi="Bookman Old Style" w:cs="Times New Roman"/>
          <w:b/>
        </w:rPr>
        <w:t> </w:t>
      </w:r>
      <w:r>
        <w:rPr>
          <w:rFonts w:ascii="Bookman Old Style" w:hAnsi="Bookman Old Style" w:cs="Times New Roman"/>
          <w:b/>
        </w:rPr>
        <w:t>(l</w:t>
      </w:r>
      <w:r w:rsidRPr="008036A1">
        <w:rPr>
          <w:rFonts w:ascii="Bookman Old Style" w:hAnsi="Bookman Old Style" w:cs="Times New Roman"/>
          <w:b/>
        </w:rPr>
        <w:t xml:space="preserve">iste </w:t>
      </w:r>
      <w:r>
        <w:rPr>
          <w:rFonts w:ascii="Bookman Old Style" w:hAnsi="Bookman Old Style" w:cs="Times New Roman"/>
          <w:b/>
        </w:rPr>
        <w:t xml:space="preserve">non exhaustive) </w:t>
      </w:r>
      <w:r w:rsidR="007477A4">
        <w:rPr>
          <w:rFonts w:ascii="Bookman Old Style" w:hAnsi="Bookman Old Style" w:cs="Times New Roman"/>
          <w:b/>
        </w:rPr>
        <w:t>:</w:t>
      </w:r>
    </w:p>
    <w:p w:rsidR="001F00BB" w:rsidRPr="008036A1" w:rsidRDefault="001F00BB" w:rsidP="001F00BB">
      <w:pPr>
        <w:pStyle w:val="Default"/>
        <w:jc w:val="both"/>
        <w:rPr>
          <w:rFonts w:ascii="Bookman Old Style" w:hAnsi="Bookman Old Style" w:cs="Times New Roman"/>
          <w:sz w:val="22"/>
          <w:szCs w:val="22"/>
        </w:rPr>
      </w:pPr>
      <w:r w:rsidRPr="008036A1">
        <w:rPr>
          <w:rFonts w:ascii="Bookman Old Style" w:hAnsi="Bookman Old Style" w:cs="Times New Roman"/>
          <w:sz w:val="22"/>
          <w:szCs w:val="22"/>
        </w:rPr>
        <w:t>Autorité de Contrôle Prudentiel et de Résolution (ACPR), ETDE (pôle énergie et services de Bouygues Construction</w:t>
      </w:r>
      <w:r>
        <w:rPr>
          <w:rFonts w:ascii="Bookman Old Style" w:hAnsi="Bookman Old Style" w:cs="Times New Roman"/>
          <w:sz w:val="22"/>
          <w:szCs w:val="22"/>
        </w:rPr>
        <w:t>)</w:t>
      </w:r>
      <w:r w:rsidRPr="008036A1">
        <w:rPr>
          <w:rFonts w:ascii="Bookman Old Style" w:hAnsi="Bookman Old Style" w:cs="Times New Roman"/>
          <w:sz w:val="22"/>
          <w:szCs w:val="22"/>
        </w:rPr>
        <w:t xml:space="preserve">, Cabinet BDGS, </w:t>
      </w:r>
      <w:r w:rsidRPr="008036A1">
        <w:rPr>
          <w:rFonts w:ascii="Bookman Old Style" w:hAnsi="Bookman Old Style"/>
          <w:sz w:val="22"/>
          <w:szCs w:val="22"/>
        </w:rPr>
        <w:t xml:space="preserve">Cabinet Bird&amp;Bird, </w:t>
      </w:r>
      <w:r w:rsidRPr="008036A1">
        <w:rPr>
          <w:rFonts w:ascii="Bookman Old Style" w:hAnsi="Bookman Old Style" w:cs="Times New Roman"/>
          <w:sz w:val="22"/>
          <w:szCs w:val="22"/>
        </w:rPr>
        <w:t>Cabinet LINKLATERS</w:t>
      </w:r>
      <w:r w:rsidRPr="008036A1">
        <w:rPr>
          <w:rFonts w:ascii="Bookman Old Style" w:hAnsi="Bookman Old Style"/>
          <w:sz w:val="22"/>
          <w:szCs w:val="22"/>
        </w:rPr>
        <w:t xml:space="preserve">, </w:t>
      </w:r>
      <w:r w:rsidRPr="008036A1">
        <w:rPr>
          <w:rFonts w:ascii="Bookman Old Style" w:hAnsi="Bookman Old Style" w:cs="Times New Roman"/>
          <w:sz w:val="22"/>
          <w:szCs w:val="22"/>
        </w:rPr>
        <w:t xml:space="preserve">Cabinet NORTON ROSE, Cofiroute, CCI Région Nord de France, Commission de Régulation de l’Energie (CRE), Cour des comptes, DEGREMONT France (filiale Suez environnement), Cabinet Deloitte, De Pardieu Brocas Maffei Avocats, Département des Hauts-de-Seine, DS Avocats, EXTERION MEDIA,  Commissariat Général à l’Egalité des Territoires (CGET ex-DATAR), GFI Securities Limited, Groupement des Industries Françaises Aéronautiques et Spatiales, La Poste, Ministère de l’Economie et des Finances, SCET (filiale juridique Caisse des Dépôts), Société TECHNOPRESSE, </w:t>
      </w:r>
      <w:r w:rsidR="00CD36AE">
        <w:rPr>
          <w:rFonts w:ascii="Bookman Old Style" w:hAnsi="Bookman Old Style" w:cs="Times New Roman"/>
          <w:sz w:val="22"/>
          <w:szCs w:val="22"/>
        </w:rPr>
        <w:t xml:space="preserve">Société Générale, </w:t>
      </w:r>
      <w:r w:rsidRPr="008036A1">
        <w:rPr>
          <w:rFonts w:ascii="Bookman Old Style" w:hAnsi="Bookman Old Style" w:cs="Times New Roman"/>
          <w:sz w:val="22"/>
          <w:szCs w:val="22"/>
        </w:rPr>
        <w:t>SYNERAIL Construction,  UGGC Avocats, Union internationale des chemins de fer, VINCI Autoroutes.</w:t>
      </w:r>
    </w:p>
    <w:p w:rsidR="00FC2EB6" w:rsidRDefault="00FC2EB6" w:rsidP="000B5EE9">
      <w:pPr>
        <w:jc w:val="both"/>
        <w:rPr>
          <w:rFonts w:ascii="Bookman Old Style" w:hAnsi="Bookman Old Style"/>
          <w:b/>
        </w:rPr>
      </w:pPr>
    </w:p>
    <w:p w:rsidR="005058F4" w:rsidRPr="007A4957" w:rsidRDefault="000B5EE9" w:rsidP="000B5EE9">
      <w:pPr>
        <w:jc w:val="both"/>
        <w:rPr>
          <w:rFonts w:ascii="Bookman Old Style" w:eastAsia="Times New Roman" w:hAnsi="Bookman Old Style" w:cs="Times New Roman"/>
          <w:b/>
          <w:bCs/>
          <w:color w:val="000000"/>
          <w:sz w:val="24"/>
          <w:szCs w:val="24"/>
          <w:lang w:eastAsia="fr-FR"/>
        </w:rPr>
      </w:pPr>
      <w:r w:rsidRPr="000B5EE9">
        <w:rPr>
          <w:rFonts w:ascii="Bookman Old Style" w:hAnsi="Bookman Old Style"/>
          <w:b/>
        </w:rPr>
        <w:lastRenderedPageBreak/>
        <w:t xml:space="preserve">6/ </w:t>
      </w:r>
      <w:r w:rsidR="003A6FFF" w:rsidRPr="003A6FFF">
        <w:rPr>
          <w:rFonts w:ascii="Bookman Old Style" w:hAnsi="Bookman Old Style"/>
          <w:b/>
          <w:sz w:val="24"/>
          <w:szCs w:val="24"/>
        </w:rPr>
        <w:t>ORGANISATION PEDAGOGIQUE D</w:t>
      </w:r>
      <w:r w:rsidR="006C77E6">
        <w:rPr>
          <w:rFonts w:ascii="Bookman Old Style" w:hAnsi="Bookman Old Style"/>
          <w:b/>
          <w:sz w:val="24"/>
          <w:szCs w:val="24"/>
        </w:rPr>
        <w:t>U M2</w:t>
      </w:r>
    </w:p>
    <w:p w:rsidR="00493127" w:rsidRDefault="0056731E" w:rsidP="003979F5">
      <w:pPr>
        <w:spacing w:after="0" w:line="240" w:lineRule="auto"/>
        <w:ind w:firstLine="708"/>
        <w:jc w:val="both"/>
        <w:rPr>
          <w:rFonts w:ascii="Bookman Old Style" w:eastAsia="Times New Roman" w:hAnsi="Bookman Old Style" w:cs="Times New Roman"/>
          <w:color w:val="000000"/>
          <w:lang w:eastAsia="fr-FR"/>
        </w:rPr>
      </w:pPr>
      <w:r w:rsidRPr="00493127">
        <w:rPr>
          <w:rFonts w:ascii="Bookman Old Style" w:eastAsia="Times New Roman" w:hAnsi="Bookman Old Style" w:cs="Times New Roman"/>
          <w:color w:val="000000"/>
          <w:lang w:eastAsia="fr-FR"/>
        </w:rPr>
        <w:t xml:space="preserve">Le Master 2 est indifférencié recherche/professionnel. Toutefois, les étudiants qui envisagent </w:t>
      </w:r>
      <w:r w:rsidR="009652F4" w:rsidRPr="00493127">
        <w:rPr>
          <w:rFonts w:ascii="Bookman Old Style" w:eastAsia="Times New Roman" w:hAnsi="Bookman Old Style" w:cs="Times New Roman"/>
          <w:color w:val="000000"/>
          <w:lang w:eastAsia="fr-FR"/>
        </w:rPr>
        <w:t>de</w:t>
      </w:r>
      <w:r w:rsidRPr="00493127">
        <w:rPr>
          <w:rFonts w:ascii="Bookman Old Style" w:eastAsia="Times New Roman" w:hAnsi="Bookman Old Style" w:cs="Times New Roman"/>
          <w:color w:val="000000"/>
          <w:lang w:eastAsia="fr-FR"/>
        </w:rPr>
        <w:t xml:space="preserve"> poursui</w:t>
      </w:r>
      <w:r w:rsidR="009652F4" w:rsidRPr="00493127">
        <w:rPr>
          <w:rFonts w:ascii="Bookman Old Style" w:eastAsia="Times New Roman" w:hAnsi="Bookman Old Style" w:cs="Times New Roman"/>
          <w:color w:val="000000"/>
          <w:lang w:eastAsia="fr-FR"/>
        </w:rPr>
        <w:t>vr</w:t>
      </w:r>
      <w:r w:rsidRPr="00493127">
        <w:rPr>
          <w:rFonts w:ascii="Bookman Old Style" w:eastAsia="Times New Roman" w:hAnsi="Bookman Old Style" w:cs="Times New Roman"/>
          <w:color w:val="000000"/>
          <w:lang w:eastAsia="fr-FR"/>
        </w:rPr>
        <w:t>e au niveau de l’Ecole Doctorale « Economie, Organisations, Société </w:t>
      </w:r>
      <w:r w:rsidRPr="00493127">
        <w:rPr>
          <w:rFonts w:ascii="Bookman Old Style" w:eastAsia="Times New Roman" w:hAnsi="Bookman Old Style" w:cs="Times New Roman"/>
          <w:b/>
          <w:color w:val="000000"/>
          <w:lang w:eastAsia="fr-FR"/>
        </w:rPr>
        <w:t>»</w:t>
      </w:r>
      <w:r w:rsidR="007D261E" w:rsidRPr="00493127">
        <w:rPr>
          <w:rFonts w:ascii="Bookman Old Style" w:eastAsia="Times New Roman" w:hAnsi="Bookman Old Style" w:cs="Times New Roman"/>
          <w:color w:val="000000"/>
          <w:lang w:eastAsia="fr-FR"/>
        </w:rPr>
        <w:t xml:space="preserve"> </w:t>
      </w:r>
      <w:r w:rsidR="0016241A" w:rsidRPr="00493127">
        <w:rPr>
          <w:rFonts w:ascii="Bookman Old Style" w:eastAsia="Times New Roman" w:hAnsi="Bookman Old Style" w:cs="Times New Roman"/>
          <w:color w:val="000000"/>
          <w:lang w:eastAsia="fr-FR"/>
        </w:rPr>
        <w:t xml:space="preserve">par </w:t>
      </w:r>
      <w:r w:rsidR="007D261E" w:rsidRPr="00493127">
        <w:rPr>
          <w:rFonts w:ascii="Bookman Old Style" w:eastAsia="Times New Roman" w:hAnsi="Bookman Old Style" w:cs="Times New Roman"/>
          <w:color w:val="000000"/>
          <w:lang w:eastAsia="fr-FR"/>
        </w:rPr>
        <w:t>la préparation d’une thèse</w:t>
      </w:r>
      <w:r w:rsidRPr="00493127">
        <w:rPr>
          <w:rFonts w:ascii="Bookman Old Style" w:eastAsia="Times New Roman" w:hAnsi="Bookman Old Style" w:cs="Times New Roman"/>
          <w:color w:val="000000"/>
          <w:lang w:eastAsia="fr-FR"/>
        </w:rPr>
        <w:t xml:space="preserve">, doivent obligatoirement choisir le </w:t>
      </w:r>
      <w:r w:rsidRPr="00493127">
        <w:rPr>
          <w:rFonts w:ascii="Bookman Old Style" w:eastAsia="Times New Roman" w:hAnsi="Bookman Old Style" w:cs="Times New Roman"/>
          <w:lang w:eastAsia="fr-FR"/>
        </w:rPr>
        <w:t>Mémoire</w:t>
      </w:r>
      <w:r w:rsidRPr="00493127">
        <w:rPr>
          <w:rFonts w:ascii="Bookman Old Style" w:eastAsia="Times New Roman" w:hAnsi="Bookman Old Style" w:cs="Times New Roman"/>
          <w:color w:val="000000"/>
          <w:lang w:eastAsia="fr-FR"/>
        </w:rPr>
        <w:t xml:space="preserve">, à la place du Stage de fin d’étude. </w:t>
      </w:r>
      <w:r w:rsidR="003177FC" w:rsidRPr="00493127">
        <w:rPr>
          <w:rFonts w:ascii="Bookman Old Style" w:eastAsia="Times New Roman" w:hAnsi="Bookman Old Style" w:cs="Times New Roman"/>
          <w:color w:val="000000"/>
          <w:lang w:eastAsia="fr-FR"/>
        </w:rPr>
        <w:t xml:space="preserve">Le mémoire est </w:t>
      </w:r>
      <w:r w:rsidR="007D261E" w:rsidRPr="00493127">
        <w:rPr>
          <w:rFonts w:ascii="Bookman Old Style" w:eastAsia="Times New Roman" w:hAnsi="Bookman Old Style" w:cs="Times New Roman"/>
          <w:color w:val="000000"/>
          <w:lang w:eastAsia="fr-FR"/>
        </w:rPr>
        <w:t>réalis</w:t>
      </w:r>
      <w:r w:rsidR="003177FC" w:rsidRPr="00493127">
        <w:rPr>
          <w:rFonts w:ascii="Bookman Old Style" w:eastAsia="Times New Roman" w:hAnsi="Bookman Old Style" w:cs="Times New Roman"/>
          <w:color w:val="000000"/>
          <w:lang w:eastAsia="fr-FR"/>
        </w:rPr>
        <w:t xml:space="preserve">é sous la supervision de l’un des enseignants-chercheurs du Master. </w:t>
      </w:r>
      <w:r w:rsidRPr="00493127">
        <w:rPr>
          <w:rFonts w:ascii="Bookman Old Style" w:eastAsia="Times New Roman" w:hAnsi="Bookman Old Style" w:cs="Times New Roman"/>
          <w:color w:val="000000"/>
          <w:lang w:eastAsia="fr-FR"/>
        </w:rPr>
        <w:t xml:space="preserve">Les étudiants qui ne sont pas désireux de poursuite au niveau des études doctorales, </w:t>
      </w:r>
      <w:r w:rsidR="00493127">
        <w:rPr>
          <w:rFonts w:ascii="Bookman Old Style" w:eastAsia="Times New Roman" w:hAnsi="Bookman Old Style" w:cs="Times New Roman"/>
          <w:color w:val="000000"/>
          <w:lang w:eastAsia="fr-FR"/>
        </w:rPr>
        <w:t xml:space="preserve">peuvent choisir le Mémoire ou </w:t>
      </w:r>
      <w:r w:rsidRPr="00493127">
        <w:rPr>
          <w:rFonts w:ascii="Bookman Old Style" w:eastAsia="Times New Roman" w:hAnsi="Bookman Old Style" w:cs="Times New Roman"/>
          <w:color w:val="000000"/>
          <w:lang w:eastAsia="fr-FR"/>
        </w:rPr>
        <w:t>le Stage de fin d’étude (minimum 3 mois) pour lequel ils doivent rédiger un rapport.</w:t>
      </w:r>
      <w:r w:rsidR="006229BF" w:rsidRPr="00493127">
        <w:rPr>
          <w:rFonts w:ascii="Bookman Old Style" w:eastAsia="Times New Roman" w:hAnsi="Bookman Old Style" w:cs="Times New Roman"/>
          <w:color w:val="000000"/>
          <w:lang w:eastAsia="fr-FR"/>
        </w:rPr>
        <w:t xml:space="preserve"> </w:t>
      </w:r>
      <w:r w:rsidR="007D261E" w:rsidRPr="00493127">
        <w:rPr>
          <w:rFonts w:ascii="Bookman Old Style" w:eastAsia="Times New Roman" w:hAnsi="Bookman Old Style" w:cs="Times New Roman"/>
          <w:color w:val="000000"/>
          <w:lang w:eastAsia="fr-FR"/>
        </w:rPr>
        <w:t xml:space="preserve">Le stage est réalisé sous la supervision d’un maître de stage (professionnel) appartenant à l’institution d’accueil du stagiaire, et d’un enseignant-chercheur référent membre de l’équipe pédagogique du Master. </w:t>
      </w:r>
      <w:r w:rsidR="006229BF" w:rsidRPr="00493127">
        <w:rPr>
          <w:rFonts w:ascii="Bookman Old Style" w:eastAsia="Times New Roman" w:hAnsi="Bookman Old Style" w:cs="Times New Roman"/>
          <w:color w:val="000000"/>
          <w:lang w:eastAsia="fr-FR"/>
        </w:rPr>
        <w:t xml:space="preserve">La période de stage débute </w:t>
      </w:r>
      <w:r w:rsidR="0016241A" w:rsidRPr="00493127">
        <w:rPr>
          <w:rFonts w:ascii="Bookman Old Style" w:eastAsia="Times New Roman" w:hAnsi="Bookman Old Style" w:cs="Times New Roman"/>
          <w:color w:val="000000"/>
          <w:lang w:eastAsia="fr-FR"/>
        </w:rPr>
        <w:t xml:space="preserve">impérativement après </w:t>
      </w:r>
      <w:r w:rsidR="006229BF" w:rsidRPr="00493127">
        <w:rPr>
          <w:rFonts w:ascii="Bookman Old Style" w:eastAsia="Times New Roman" w:hAnsi="Bookman Old Style" w:cs="Times New Roman"/>
          <w:color w:val="000000"/>
          <w:lang w:eastAsia="fr-FR"/>
        </w:rPr>
        <w:t xml:space="preserve">la période impartie aux enseignements (fin mars) ; </w:t>
      </w:r>
      <w:r w:rsidR="007F2E13" w:rsidRPr="00493127">
        <w:rPr>
          <w:rFonts w:ascii="Bookman Old Style" w:eastAsia="Times New Roman" w:hAnsi="Bookman Old Style" w:cs="Times New Roman"/>
          <w:color w:val="000000"/>
          <w:lang w:eastAsia="fr-FR"/>
        </w:rPr>
        <w:t>aucune</w:t>
      </w:r>
      <w:r w:rsidR="006229BF" w:rsidRPr="00493127">
        <w:rPr>
          <w:rFonts w:ascii="Bookman Old Style" w:eastAsia="Times New Roman" w:hAnsi="Bookman Old Style" w:cs="Times New Roman"/>
          <w:color w:val="000000"/>
          <w:lang w:eastAsia="fr-FR"/>
        </w:rPr>
        <w:t xml:space="preserve"> convention de stage ne peut être signée avant cela.</w:t>
      </w:r>
    </w:p>
    <w:p w:rsidR="00FC2EB6" w:rsidRDefault="00FC2EB6" w:rsidP="007E5A58">
      <w:pPr>
        <w:spacing w:after="0" w:line="240" w:lineRule="auto"/>
        <w:jc w:val="both"/>
        <w:rPr>
          <w:rFonts w:ascii="Bookman Old Style" w:hAnsi="Bookman Old Style"/>
          <w:bCs/>
          <w:color w:val="000000"/>
        </w:rPr>
      </w:pPr>
    </w:p>
    <w:p w:rsidR="001C5D2B" w:rsidRDefault="001C5D2B" w:rsidP="001C5D2B">
      <w:pPr>
        <w:spacing w:after="0" w:line="240" w:lineRule="auto"/>
        <w:jc w:val="center"/>
        <w:rPr>
          <w:rFonts w:ascii="Bookman Old Style" w:eastAsia="Times New Roman" w:hAnsi="Bookman Old Style" w:cs="Times New Roman"/>
          <w:b/>
          <w:bCs/>
          <w:color w:val="000000"/>
          <w:sz w:val="20"/>
          <w:szCs w:val="20"/>
          <w:lang w:eastAsia="fr-FR"/>
        </w:rPr>
      </w:pPr>
      <w:r w:rsidRPr="007A4957">
        <w:rPr>
          <w:rFonts w:ascii="Bookman Old Style" w:eastAsia="Times New Roman" w:hAnsi="Bookman Old Style" w:cs="Times New Roman"/>
          <w:b/>
          <w:bCs/>
          <w:color w:val="000000"/>
          <w:sz w:val="20"/>
          <w:szCs w:val="20"/>
          <w:lang w:eastAsia="fr-FR"/>
        </w:rPr>
        <w:t>ENSEIGNEMENT DISPENSE EN M2 : 3</w:t>
      </w:r>
      <w:r>
        <w:rPr>
          <w:rFonts w:ascii="Bookman Old Style" w:eastAsia="Times New Roman" w:hAnsi="Bookman Old Style" w:cs="Times New Roman"/>
          <w:b/>
          <w:bCs/>
          <w:color w:val="000000"/>
          <w:sz w:val="20"/>
          <w:szCs w:val="20"/>
          <w:lang w:eastAsia="fr-FR"/>
        </w:rPr>
        <w:t>4</w:t>
      </w:r>
      <w:r w:rsidRPr="007A4957">
        <w:rPr>
          <w:rFonts w:ascii="Bookman Old Style" w:eastAsia="Times New Roman" w:hAnsi="Bookman Old Style" w:cs="Times New Roman"/>
          <w:b/>
          <w:bCs/>
          <w:color w:val="000000"/>
          <w:sz w:val="20"/>
          <w:szCs w:val="20"/>
          <w:lang w:eastAsia="fr-FR"/>
        </w:rPr>
        <w:t>0 heures en présentiel</w:t>
      </w:r>
    </w:p>
    <w:p w:rsidR="001C5D2B" w:rsidRPr="001C5D2B" w:rsidRDefault="001C5D2B" w:rsidP="001C5D2B">
      <w:pPr>
        <w:spacing w:after="0" w:line="240" w:lineRule="auto"/>
        <w:jc w:val="center"/>
        <w:rPr>
          <w:rFonts w:ascii="Bookman Old Style" w:eastAsia="Times New Roman" w:hAnsi="Bookman Old Style" w:cs="Times New Roman"/>
          <w:b/>
          <w:bCs/>
          <w:color w:val="000000"/>
          <w:sz w:val="20"/>
          <w:szCs w:val="20"/>
          <w:lang w:eastAsia="fr-FR"/>
        </w:rPr>
      </w:pPr>
      <w:r>
        <w:rPr>
          <w:rFonts w:ascii="Bookman Old Style" w:eastAsia="Times New Roman" w:hAnsi="Bookman Old Style" w:cs="Times New Roman"/>
          <w:b/>
          <w:bCs/>
          <w:color w:val="000000"/>
          <w:sz w:val="20"/>
          <w:szCs w:val="20"/>
          <w:lang w:eastAsia="fr-FR"/>
        </w:rPr>
        <w:t xml:space="preserve">Stage obligatoire ou Mémoire de recherche </w:t>
      </w:r>
    </w:p>
    <w:tbl>
      <w:tblPr>
        <w:tblpPr w:leftFromText="141" w:rightFromText="141" w:vertAnchor="text" w:tblpY="1"/>
        <w:tblOverlap w:val="never"/>
        <w:tblW w:w="0" w:type="auto"/>
        <w:tblCellMar>
          <w:left w:w="70" w:type="dxa"/>
          <w:right w:w="70" w:type="dxa"/>
        </w:tblCellMar>
        <w:tblLook w:val="04A0" w:firstRow="1" w:lastRow="0" w:firstColumn="1" w:lastColumn="0" w:noHBand="0" w:noVBand="1"/>
      </w:tblPr>
      <w:tblGrid>
        <w:gridCol w:w="4496"/>
        <w:gridCol w:w="146"/>
        <w:gridCol w:w="201"/>
        <w:gridCol w:w="143"/>
        <w:gridCol w:w="1447"/>
        <w:gridCol w:w="203"/>
        <w:gridCol w:w="742"/>
        <w:gridCol w:w="862"/>
        <w:gridCol w:w="972"/>
      </w:tblGrid>
      <w:tr w:rsidR="005058F4" w:rsidRPr="00411CFA" w:rsidTr="00D42B55">
        <w:trPr>
          <w:trHeight w:val="315"/>
        </w:trPr>
        <w:tc>
          <w:tcPr>
            <w:tcW w:w="0" w:type="auto"/>
            <w:gridSpan w:val="2"/>
            <w:tcBorders>
              <w:top w:val="nil"/>
              <w:left w:val="nil"/>
              <w:bottom w:val="nil"/>
              <w:right w:val="nil"/>
            </w:tcBorders>
            <w:shd w:val="clear" w:color="auto" w:fill="auto"/>
            <w:noWrap/>
            <w:vAlign w:val="bottom"/>
            <w:hideMark/>
          </w:tcPr>
          <w:p w:rsidR="00B448A6" w:rsidRDefault="00B448A6" w:rsidP="00D42B55">
            <w:pPr>
              <w:spacing w:after="0" w:line="240" w:lineRule="auto"/>
              <w:rPr>
                <w:rFonts w:ascii="Helvetica Neue" w:eastAsia="Times New Roman" w:hAnsi="Helvetica Neue" w:cs="Times New Roman"/>
                <w:b/>
                <w:bCs/>
                <w:color w:val="000000"/>
                <w:lang w:eastAsia="fr-FR"/>
              </w:rPr>
            </w:pPr>
          </w:p>
          <w:p w:rsidR="005058F4" w:rsidRPr="00411CFA" w:rsidRDefault="005058F4" w:rsidP="00D42B55">
            <w:pPr>
              <w:spacing w:after="0" w:line="240" w:lineRule="auto"/>
              <w:rPr>
                <w:rFonts w:ascii="Helvetica Neue" w:eastAsia="Times New Roman" w:hAnsi="Helvetica Neue" w:cs="Times New Roman"/>
                <w:b/>
                <w:bCs/>
                <w:color w:val="000000"/>
                <w:lang w:eastAsia="fr-FR"/>
              </w:rPr>
            </w:pPr>
            <w:r w:rsidRPr="00411CFA">
              <w:rPr>
                <w:rFonts w:ascii="Helvetica Neue" w:eastAsia="Times New Roman" w:hAnsi="Helvetica Neue" w:cs="Times New Roman"/>
                <w:b/>
                <w:bCs/>
                <w:color w:val="000000"/>
                <w:lang w:eastAsia="fr-FR"/>
              </w:rPr>
              <w:t>semestre 1</w:t>
            </w:r>
          </w:p>
        </w:tc>
        <w:tc>
          <w:tcPr>
            <w:tcW w:w="344" w:type="dxa"/>
            <w:gridSpan w:val="2"/>
            <w:tcBorders>
              <w:top w:val="nil"/>
              <w:left w:val="nil"/>
              <w:bottom w:val="nil"/>
              <w:right w:val="nil"/>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p>
        </w:tc>
        <w:tc>
          <w:tcPr>
            <w:tcW w:w="1447" w:type="dxa"/>
            <w:tcBorders>
              <w:top w:val="nil"/>
              <w:left w:val="nil"/>
              <w:bottom w:val="nil"/>
              <w:right w:val="nil"/>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p>
        </w:tc>
        <w:tc>
          <w:tcPr>
            <w:tcW w:w="203" w:type="dxa"/>
            <w:tcBorders>
              <w:top w:val="nil"/>
              <w:left w:val="nil"/>
              <w:bottom w:val="nil"/>
              <w:right w:val="nil"/>
            </w:tcBorders>
          </w:tcPr>
          <w:p w:rsidR="005058F4" w:rsidRPr="00411CFA" w:rsidRDefault="005058F4" w:rsidP="00D42B55">
            <w:pPr>
              <w:spacing w:after="0" w:line="240" w:lineRule="auto"/>
              <w:rPr>
                <w:rFonts w:ascii="Helvetica Neue" w:eastAsia="Times New Roman" w:hAnsi="Helvetica Neue" w:cs="Times New Roman"/>
                <w:color w:val="000000"/>
                <w:lang w:eastAsia="fr-FR"/>
              </w:rPr>
            </w:pPr>
          </w:p>
        </w:tc>
        <w:tc>
          <w:tcPr>
            <w:tcW w:w="742" w:type="dxa"/>
            <w:tcBorders>
              <w:top w:val="nil"/>
              <w:left w:val="nil"/>
              <w:bottom w:val="nil"/>
              <w:right w:val="nil"/>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p>
        </w:tc>
        <w:tc>
          <w:tcPr>
            <w:tcW w:w="0" w:type="auto"/>
            <w:tcBorders>
              <w:top w:val="nil"/>
              <w:left w:val="nil"/>
              <w:bottom w:val="nil"/>
              <w:right w:val="nil"/>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p>
        </w:tc>
        <w:tc>
          <w:tcPr>
            <w:tcW w:w="0" w:type="auto"/>
            <w:tcBorders>
              <w:top w:val="nil"/>
              <w:left w:val="nil"/>
              <w:bottom w:val="single" w:sz="12" w:space="0" w:color="auto"/>
              <w:right w:val="nil"/>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p>
        </w:tc>
      </w:tr>
      <w:tr w:rsidR="005058F4" w:rsidRPr="00411CFA" w:rsidTr="00D42B55">
        <w:trPr>
          <w:trHeight w:val="660"/>
        </w:trPr>
        <w:tc>
          <w:tcPr>
            <w:tcW w:w="4443" w:type="dxa"/>
            <w:tcBorders>
              <w:top w:val="single" w:sz="12" w:space="0" w:color="auto"/>
              <w:left w:val="single" w:sz="12" w:space="0" w:color="auto"/>
              <w:bottom w:val="single" w:sz="12" w:space="0" w:color="000000"/>
              <w:right w:val="single" w:sz="12" w:space="0" w:color="000000"/>
            </w:tcBorders>
            <w:shd w:val="clear" w:color="000000" w:fill="BFBFBF"/>
            <w:noWrap/>
            <w:vAlign w:val="center"/>
            <w:hideMark/>
          </w:tcPr>
          <w:p w:rsidR="005058F4" w:rsidRPr="00411CFA" w:rsidRDefault="005058F4" w:rsidP="00D42B55">
            <w:pPr>
              <w:spacing w:after="0" w:line="240" w:lineRule="auto"/>
              <w:rPr>
                <w:rFonts w:ascii="Helvetica Neue" w:eastAsia="Times New Roman" w:hAnsi="Helvetica Neue" w:cs="Times New Roman"/>
                <w:b/>
                <w:bCs/>
                <w:color w:val="000000"/>
                <w:lang w:eastAsia="fr-FR"/>
              </w:rPr>
            </w:pPr>
            <w:r w:rsidRPr="00411CFA">
              <w:rPr>
                <w:rFonts w:ascii="Helvetica Neue" w:eastAsia="Times New Roman" w:hAnsi="Helvetica Neue" w:cs="Times New Roman"/>
                <w:b/>
                <w:bCs/>
                <w:color w:val="000000"/>
                <w:lang w:eastAsia="fr-FR"/>
              </w:rPr>
              <w:t xml:space="preserve">Fondamentaux Economie du Droit </w:t>
            </w:r>
          </w:p>
        </w:tc>
        <w:tc>
          <w:tcPr>
            <w:tcW w:w="2140" w:type="dxa"/>
            <w:gridSpan w:val="5"/>
            <w:tcBorders>
              <w:top w:val="single" w:sz="12" w:space="0" w:color="auto"/>
              <w:left w:val="single" w:sz="12" w:space="0" w:color="auto"/>
              <w:right w:val="single" w:sz="12" w:space="0" w:color="auto"/>
            </w:tcBorders>
            <w:shd w:val="clear" w:color="000000" w:fill="D8D8D8"/>
          </w:tcPr>
          <w:p w:rsidR="005058F4" w:rsidRDefault="005058F4" w:rsidP="00D42B55">
            <w:pPr>
              <w:spacing w:after="0" w:line="240" w:lineRule="auto"/>
              <w:jc w:val="center"/>
              <w:rPr>
                <w:rFonts w:ascii="Helvetica Neue" w:eastAsia="Times New Roman" w:hAnsi="Helvetica Neue" w:cs="Times New Roman"/>
                <w:b/>
                <w:bCs/>
                <w:color w:val="000000"/>
                <w:lang w:eastAsia="fr-FR"/>
              </w:rPr>
            </w:pPr>
          </w:p>
          <w:p w:rsidR="005058F4" w:rsidRPr="00411CFA" w:rsidRDefault="005058F4" w:rsidP="00D42B55">
            <w:pPr>
              <w:spacing w:after="0" w:line="240" w:lineRule="auto"/>
              <w:jc w:val="center"/>
              <w:rPr>
                <w:rFonts w:ascii="Helvetica Neue" w:eastAsia="Times New Roman" w:hAnsi="Helvetica Neue" w:cs="Times New Roman"/>
                <w:b/>
                <w:bCs/>
                <w:color w:val="000000"/>
                <w:lang w:eastAsia="fr-FR"/>
              </w:rPr>
            </w:pPr>
            <w:r>
              <w:rPr>
                <w:rFonts w:ascii="Helvetica Neue" w:eastAsia="Times New Roman" w:hAnsi="Helvetica Neue" w:cs="Times New Roman"/>
                <w:b/>
                <w:bCs/>
                <w:color w:val="000000"/>
                <w:lang w:eastAsia="fr-FR"/>
              </w:rPr>
              <w:t>Enseignants</w:t>
            </w:r>
          </w:p>
        </w:tc>
        <w:tc>
          <w:tcPr>
            <w:tcW w:w="742" w:type="dxa"/>
            <w:tcBorders>
              <w:top w:val="single" w:sz="12" w:space="0" w:color="auto"/>
              <w:left w:val="single" w:sz="12" w:space="0" w:color="auto"/>
              <w:bottom w:val="single" w:sz="12" w:space="0" w:color="auto"/>
              <w:right w:val="single" w:sz="12" w:space="0" w:color="auto"/>
            </w:tcBorders>
            <w:shd w:val="clear" w:color="000000" w:fill="D8D8D8"/>
            <w:noWrap/>
            <w:vAlign w:val="center"/>
            <w:hideMark/>
          </w:tcPr>
          <w:p w:rsidR="005058F4" w:rsidRPr="00411CFA" w:rsidRDefault="005058F4" w:rsidP="00D42B55">
            <w:pPr>
              <w:spacing w:after="0" w:line="240" w:lineRule="auto"/>
              <w:jc w:val="center"/>
              <w:rPr>
                <w:rFonts w:ascii="Helvetica Neue" w:eastAsia="Times New Roman" w:hAnsi="Helvetica Neue" w:cs="Times New Roman"/>
                <w:b/>
                <w:bCs/>
                <w:color w:val="000000"/>
                <w:lang w:eastAsia="fr-FR"/>
              </w:rPr>
            </w:pPr>
            <w:r w:rsidRPr="00411CFA">
              <w:rPr>
                <w:rFonts w:ascii="Helvetica Neue" w:eastAsia="Times New Roman" w:hAnsi="Helvetica Neue" w:cs="Times New Roman"/>
                <w:b/>
                <w:bCs/>
                <w:color w:val="000000"/>
                <w:lang w:eastAsia="fr-FR"/>
              </w:rPr>
              <w:t>ECTS</w:t>
            </w:r>
          </w:p>
        </w:tc>
        <w:tc>
          <w:tcPr>
            <w:tcW w:w="0" w:type="auto"/>
            <w:tcBorders>
              <w:top w:val="single" w:sz="12" w:space="0" w:color="auto"/>
              <w:left w:val="single" w:sz="12" w:space="0" w:color="auto"/>
              <w:bottom w:val="single" w:sz="12" w:space="0" w:color="auto"/>
              <w:right w:val="single" w:sz="12" w:space="0" w:color="auto"/>
            </w:tcBorders>
            <w:shd w:val="clear" w:color="000000" w:fill="D8D8D8"/>
            <w:noWrap/>
            <w:vAlign w:val="center"/>
            <w:hideMark/>
          </w:tcPr>
          <w:p w:rsidR="005058F4" w:rsidRPr="00411CFA" w:rsidRDefault="005058F4" w:rsidP="00D42B55">
            <w:pPr>
              <w:spacing w:after="0" w:line="240" w:lineRule="auto"/>
              <w:jc w:val="center"/>
              <w:rPr>
                <w:rFonts w:ascii="Helvetica Neue" w:eastAsia="Times New Roman" w:hAnsi="Helvetica Neue" w:cs="Times New Roman"/>
                <w:b/>
                <w:bCs/>
                <w:color w:val="000000"/>
                <w:lang w:eastAsia="fr-FR"/>
              </w:rPr>
            </w:pPr>
            <w:r w:rsidRPr="00411CFA">
              <w:rPr>
                <w:rFonts w:ascii="Helvetica Neue" w:eastAsia="Times New Roman" w:hAnsi="Helvetica Neue" w:cs="Times New Roman"/>
                <w:b/>
                <w:bCs/>
                <w:color w:val="000000"/>
                <w:lang w:eastAsia="fr-FR"/>
              </w:rPr>
              <w:t>CM</w:t>
            </w:r>
          </w:p>
        </w:tc>
        <w:tc>
          <w:tcPr>
            <w:tcW w:w="0" w:type="auto"/>
            <w:tcBorders>
              <w:top w:val="single" w:sz="12" w:space="0" w:color="auto"/>
              <w:left w:val="nil"/>
              <w:bottom w:val="single" w:sz="12" w:space="0" w:color="auto"/>
              <w:right w:val="single" w:sz="12" w:space="0" w:color="auto"/>
            </w:tcBorders>
            <w:shd w:val="clear" w:color="000000" w:fill="D8D8D8"/>
            <w:noWrap/>
            <w:vAlign w:val="bottom"/>
            <w:hideMark/>
          </w:tcPr>
          <w:p w:rsidR="005058F4" w:rsidRPr="00411CFA" w:rsidRDefault="005058F4" w:rsidP="00D42B55">
            <w:pPr>
              <w:spacing w:after="0" w:line="240" w:lineRule="auto"/>
              <w:jc w:val="center"/>
              <w:rPr>
                <w:rFonts w:ascii="Helvetica Neue" w:eastAsia="Times New Roman" w:hAnsi="Helvetica Neue" w:cs="Times New Roman"/>
                <w:b/>
                <w:bCs/>
                <w:color w:val="000000"/>
                <w:lang w:eastAsia="fr-FR"/>
              </w:rPr>
            </w:pPr>
            <w:r w:rsidRPr="00411CFA">
              <w:rPr>
                <w:rFonts w:ascii="Helvetica Neue" w:eastAsia="Times New Roman" w:hAnsi="Helvetica Neue" w:cs="Times New Roman"/>
                <w:b/>
                <w:bCs/>
                <w:color w:val="000000"/>
                <w:lang w:eastAsia="fr-FR"/>
              </w:rPr>
              <w:t>Volume</w:t>
            </w:r>
          </w:p>
          <w:p w:rsidR="005058F4" w:rsidRPr="00411CFA" w:rsidRDefault="00FA706C" w:rsidP="00D42B55">
            <w:pPr>
              <w:spacing w:after="0" w:line="240" w:lineRule="auto"/>
              <w:jc w:val="center"/>
              <w:rPr>
                <w:rFonts w:ascii="Helvetica Neue" w:eastAsia="Times New Roman" w:hAnsi="Helvetica Neue" w:cs="Times New Roman"/>
                <w:b/>
                <w:bCs/>
                <w:color w:val="000000"/>
                <w:lang w:eastAsia="fr-FR"/>
              </w:rPr>
            </w:pPr>
            <w:r w:rsidRPr="00411CFA">
              <w:rPr>
                <w:rFonts w:ascii="Helvetica Neue" w:eastAsia="Times New Roman" w:hAnsi="Helvetica Neue" w:cs="Times New Roman"/>
                <w:b/>
                <w:bCs/>
                <w:color w:val="000000"/>
                <w:lang w:eastAsia="fr-FR"/>
              </w:rPr>
              <w:t>E</w:t>
            </w:r>
            <w:r w:rsidR="005058F4" w:rsidRPr="00411CFA">
              <w:rPr>
                <w:rFonts w:ascii="Helvetica Neue" w:eastAsia="Times New Roman" w:hAnsi="Helvetica Neue" w:cs="Times New Roman"/>
                <w:b/>
                <w:bCs/>
                <w:color w:val="000000"/>
                <w:lang w:eastAsia="fr-FR"/>
              </w:rPr>
              <w:t>tudiant</w:t>
            </w:r>
          </w:p>
        </w:tc>
      </w:tr>
      <w:tr w:rsidR="005058F4" w:rsidRPr="00411CFA" w:rsidTr="00D42B55">
        <w:trPr>
          <w:trHeight w:val="315"/>
        </w:trPr>
        <w:tc>
          <w:tcPr>
            <w:tcW w:w="4443" w:type="dxa"/>
            <w:tcBorders>
              <w:top w:val="nil"/>
              <w:left w:val="single" w:sz="12" w:space="0" w:color="auto"/>
              <w:bottom w:val="single" w:sz="4" w:space="0" w:color="auto"/>
              <w:right w:val="single" w:sz="12" w:space="0" w:color="000000"/>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Economie des litiges et de la justice</w:t>
            </w:r>
          </w:p>
        </w:tc>
        <w:tc>
          <w:tcPr>
            <w:tcW w:w="2140" w:type="dxa"/>
            <w:gridSpan w:val="5"/>
            <w:tcBorders>
              <w:top w:val="single" w:sz="12" w:space="0" w:color="auto"/>
              <w:left w:val="nil"/>
              <w:bottom w:val="single" w:sz="12" w:space="0" w:color="auto"/>
              <w:right w:val="single" w:sz="12" w:space="0" w:color="auto"/>
            </w:tcBorders>
          </w:tcPr>
          <w:p w:rsidR="005058F4" w:rsidRPr="00411CFA" w:rsidRDefault="005058F4" w:rsidP="00010637">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M Langlais</w:t>
            </w:r>
          </w:p>
        </w:tc>
        <w:tc>
          <w:tcPr>
            <w:tcW w:w="742" w:type="dxa"/>
            <w:tcBorders>
              <w:top w:val="nil"/>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3</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c>
          <w:tcPr>
            <w:tcW w:w="0" w:type="auto"/>
            <w:tcBorders>
              <w:top w:val="single" w:sz="12" w:space="0" w:color="auto"/>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r>
      <w:tr w:rsidR="005058F4" w:rsidRPr="00411CFA" w:rsidTr="00D42B55">
        <w:trPr>
          <w:trHeight w:val="315"/>
        </w:trPr>
        <w:tc>
          <w:tcPr>
            <w:tcW w:w="4443" w:type="dxa"/>
            <w:tcBorders>
              <w:top w:val="single" w:sz="4" w:space="0" w:color="auto"/>
              <w:left w:val="single" w:sz="12" w:space="0" w:color="auto"/>
              <w:bottom w:val="single" w:sz="4" w:space="0" w:color="auto"/>
              <w:right w:val="single" w:sz="12" w:space="0" w:color="000000"/>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Economie de la responsabilité civile et pénale</w:t>
            </w:r>
            <w:r>
              <w:rPr>
                <w:rFonts w:ascii="Helvetica Neue" w:eastAsia="Times New Roman" w:hAnsi="Helvetica Neue" w:cs="Times New Roman"/>
                <w:color w:val="000000"/>
                <w:lang w:eastAsia="fr-FR"/>
              </w:rPr>
              <w:t xml:space="preserve"> </w:t>
            </w:r>
          </w:p>
        </w:tc>
        <w:tc>
          <w:tcPr>
            <w:tcW w:w="2140" w:type="dxa"/>
            <w:gridSpan w:val="5"/>
            <w:tcBorders>
              <w:top w:val="single" w:sz="12" w:space="0" w:color="auto"/>
              <w:left w:val="nil"/>
              <w:bottom w:val="single" w:sz="12" w:space="0" w:color="auto"/>
              <w:right w:val="single" w:sz="12" w:space="0" w:color="auto"/>
            </w:tcBorders>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M Langlais</w:t>
            </w:r>
          </w:p>
        </w:tc>
        <w:tc>
          <w:tcPr>
            <w:tcW w:w="742" w:type="dxa"/>
            <w:tcBorders>
              <w:top w:val="nil"/>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3</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r>
      <w:tr w:rsidR="005058F4" w:rsidRPr="00411CFA" w:rsidTr="00D42B55">
        <w:trPr>
          <w:trHeight w:val="315"/>
        </w:trPr>
        <w:tc>
          <w:tcPr>
            <w:tcW w:w="4443" w:type="dxa"/>
            <w:tcBorders>
              <w:top w:val="single" w:sz="8" w:space="0" w:color="auto"/>
              <w:left w:val="single" w:sz="8" w:space="0" w:color="auto"/>
              <w:bottom w:val="single" w:sz="8" w:space="0" w:color="auto"/>
              <w:right w:val="single" w:sz="12" w:space="0" w:color="000000"/>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Dynamique des systèmes juridiques</w:t>
            </w:r>
          </w:p>
        </w:tc>
        <w:tc>
          <w:tcPr>
            <w:tcW w:w="2140" w:type="dxa"/>
            <w:gridSpan w:val="5"/>
            <w:tcBorders>
              <w:top w:val="single" w:sz="12" w:space="0" w:color="auto"/>
              <w:left w:val="nil"/>
              <w:bottom w:val="single" w:sz="12" w:space="0" w:color="auto"/>
              <w:right w:val="single" w:sz="12" w:space="0" w:color="auto"/>
            </w:tcBorders>
          </w:tcPr>
          <w:p w:rsidR="005058F4" w:rsidRPr="00411CFA" w:rsidRDefault="00912BB2" w:rsidP="00D42B55">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 xml:space="preserve">Professionnels </w:t>
            </w:r>
            <w:r w:rsidRPr="00912BB2">
              <w:rPr>
                <w:rFonts w:ascii="Helvetica Neue" w:eastAsia="Times New Roman" w:hAnsi="Helvetica Neue" w:cs="Times New Roman"/>
                <w:color w:val="000000"/>
                <w:vertAlign w:val="superscript"/>
                <w:lang w:eastAsia="fr-FR"/>
              </w:rPr>
              <w:t>a</w:t>
            </w:r>
          </w:p>
        </w:tc>
        <w:tc>
          <w:tcPr>
            <w:tcW w:w="742" w:type="dxa"/>
            <w:tcBorders>
              <w:top w:val="nil"/>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3</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r>
      <w:tr w:rsidR="005058F4" w:rsidRPr="00411CFA" w:rsidTr="00D42B55">
        <w:trPr>
          <w:trHeight w:val="645"/>
        </w:trPr>
        <w:tc>
          <w:tcPr>
            <w:tcW w:w="4443" w:type="dxa"/>
            <w:tcBorders>
              <w:top w:val="single" w:sz="12" w:space="0" w:color="auto"/>
              <w:left w:val="single" w:sz="12" w:space="0" w:color="auto"/>
              <w:bottom w:val="single" w:sz="12" w:space="0" w:color="000000"/>
              <w:right w:val="single" w:sz="12" w:space="0" w:color="000000"/>
            </w:tcBorders>
            <w:shd w:val="clear" w:color="000000" w:fill="BFBFBF"/>
            <w:noWrap/>
            <w:vAlign w:val="center"/>
            <w:hideMark/>
          </w:tcPr>
          <w:p w:rsidR="005058F4" w:rsidRPr="00411CFA" w:rsidRDefault="005058F4" w:rsidP="00D42B55">
            <w:pPr>
              <w:spacing w:after="0" w:line="240" w:lineRule="auto"/>
              <w:rPr>
                <w:rFonts w:ascii="Helvetica Neue" w:eastAsia="Times New Roman" w:hAnsi="Helvetica Neue" w:cs="Times New Roman"/>
                <w:b/>
                <w:bCs/>
                <w:color w:val="000000"/>
                <w:lang w:eastAsia="fr-FR"/>
              </w:rPr>
            </w:pPr>
            <w:r w:rsidRPr="00411CFA">
              <w:rPr>
                <w:rFonts w:ascii="Helvetica Neue" w:eastAsia="Times New Roman" w:hAnsi="Helvetica Neue" w:cs="Times New Roman"/>
                <w:b/>
                <w:bCs/>
                <w:color w:val="000000"/>
                <w:lang w:eastAsia="fr-FR"/>
              </w:rPr>
              <w:t>Fondamentaux Droit</w:t>
            </w:r>
          </w:p>
        </w:tc>
        <w:tc>
          <w:tcPr>
            <w:tcW w:w="2140" w:type="dxa"/>
            <w:gridSpan w:val="5"/>
            <w:tcBorders>
              <w:top w:val="single" w:sz="12" w:space="0" w:color="auto"/>
              <w:left w:val="single" w:sz="12" w:space="0" w:color="auto"/>
              <w:bottom w:val="single" w:sz="12" w:space="0" w:color="auto"/>
              <w:right w:val="single" w:sz="12" w:space="0" w:color="auto"/>
            </w:tcBorders>
            <w:shd w:val="clear" w:color="000000" w:fill="BFBFBF"/>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p>
        </w:tc>
        <w:tc>
          <w:tcPr>
            <w:tcW w:w="2576" w:type="dxa"/>
            <w:gridSpan w:val="3"/>
            <w:tcBorders>
              <w:top w:val="single" w:sz="12" w:space="0" w:color="auto"/>
              <w:left w:val="single" w:sz="12" w:space="0" w:color="auto"/>
              <w:bottom w:val="single" w:sz="12" w:space="0" w:color="auto"/>
              <w:right w:val="single" w:sz="12" w:space="0" w:color="auto"/>
            </w:tcBorders>
            <w:shd w:val="clear" w:color="000000" w:fill="BFBFBF"/>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 </w:t>
            </w:r>
          </w:p>
        </w:tc>
      </w:tr>
      <w:tr w:rsidR="005058F4" w:rsidRPr="00411CFA" w:rsidTr="00D42B55">
        <w:trPr>
          <w:trHeight w:val="300"/>
        </w:trPr>
        <w:tc>
          <w:tcPr>
            <w:tcW w:w="4443" w:type="dxa"/>
            <w:tcBorders>
              <w:top w:val="nil"/>
              <w:left w:val="single" w:sz="12" w:space="0" w:color="auto"/>
              <w:bottom w:val="single" w:sz="4" w:space="0" w:color="auto"/>
              <w:right w:val="single" w:sz="12" w:space="0" w:color="000000"/>
            </w:tcBorders>
            <w:shd w:val="clear" w:color="auto" w:fill="auto"/>
            <w:noWrap/>
            <w:vAlign w:val="bottom"/>
            <w:hideMark/>
          </w:tcPr>
          <w:p w:rsidR="005058F4" w:rsidRPr="00411CFA" w:rsidRDefault="006E02AA" w:rsidP="00D415F9">
            <w:pPr>
              <w:spacing w:after="0" w:line="240" w:lineRule="auto"/>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 xml:space="preserve">Droit </w:t>
            </w:r>
            <w:r w:rsidR="00D415F9">
              <w:rPr>
                <w:rFonts w:ascii="Helvetica Neue" w:eastAsia="Times New Roman" w:hAnsi="Helvetica Neue" w:cs="Times New Roman"/>
                <w:color w:val="000000"/>
                <w:lang w:eastAsia="fr-FR"/>
              </w:rPr>
              <w:t>des marchés</w:t>
            </w:r>
            <w:r>
              <w:rPr>
                <w:rFonts w:ascii="Helvetica Neue" w:eastAsia="Times New Roman" w:hAnsi="Helvetica Neue" w:cs="Times New Roman"/>
                <w:color w:val="000000"/>
                <w:lang w:eastAsia="fr-FR"/>
              </w:rPr>
              <w:t xml:space="preserve"> financier</w:t>
            </w:r>
            <w:r w:rsidR="00D415F9">
              <w:rPr>
                <w:rFonts w:ascii="Helvetica Neue" w:eastAsia="Times New Roman" w:hAnsi="Helvetica Neue" w:cs="Times New Roman"/>
                <w:color w:val="000000"/>
                <w:lang w:eastAsia="fr-FR"/>
              </w:rPr>
              <w:t>s</w:t>
            </w:r>
          </w:p>
        </w:tc>
        <w:tc>
          <w:tcPr>
            <w:tcW w:w="2140" w:type="dxa"/>
            <w:gridSpan w:val="5"/>
            <w:tcBorders>
              <w:top w:val="single" w:sz="12" w:space="0" w:color="auto"/>
              <w:left w:val="nil"/>
              <w:bottom w:val="single" w:sz="12" w:space="0" w:color="auto"/>
              <w:right w:val="single" w:sz="12" w:space="0" w:color="auto"/>
            </w:tcBorders>
          </w:tcPr>
          <w:p w:rsidR="005058F4" w:rsidRPr="00411CFA" w:rsidRDefault="005058F4" w:rsidP="006E02AA">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 xml:space="preserve">M </w:t>
            </w:r>
            <w:r w:rsidR="006E02AA">
              <w:rPr>
                <w:rFonts w:ascii="Helvetica Neue" w:eastAsia="Times New Roman" w:hAnsi="Helvetica Neue" w:cs="Times New Roman"/>
                <w:color w:val="000000"/>
                <w:lang w:eastAsia="fr-FR"/>
              </w:rPr>
              <w:t>Reygrobellet</w:t>
            </w:r>
          </w:p>
        </w:tc>
        <w:tc>
          <w:tcPr>
            <w:tcW w:w="742" w:type="dxa"/>
            <w:tcBorders>
              <w:top w:val="nil"/>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3</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r>
      <w:tr w:rsidR="005058F4" w:rsidRPr="00411CFA" w:rsidTr="00D42B55">
        <w:trPr>
          <w:trHeight w:val="315"/>
        </w:trPr>
        <w:tc>
          <w:tcPr>
            <w:tcW w:w="4443" w:type="dxa"/>
            <w:tcBorders>
              <w:top w:val="single" w:sz="4" w:space="0" w:color="auto"/>
              <w:left w:val="single" w:sz="12" w:space="0" w:color="auto"/>
              <w:bottom w:val="nil"/>
              <w:right w:val="single" w:sz="12" w:space="0" w:color="auto"/>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Droit pénal des affaires</w:t>
            </w:r>
            <w:r>
              <w:rPr>
                <w:rFonts w:ascii="Helvetica Neue" w:eastAsia="Times New Roman" w:hAnsi="Helvetica Neue" w:cs="Times New Roman"/>
                <w:color w:val="000000"/>
                <w:lang w:eastAsia="fr-FR"/>
              </w:rPr>
              <w:t xml:space="preserve"> </w:t>
            </w:r>
          </w:p>
        </w:tc>
        <w:tc>
          <w:tcPr>
            <w:tcW w:w="2140" w:type="dxa"/>
            <w:gridSpan w:val="5"/>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 </w:t>
            </w:r>
            <w:r>
              <w:rPr>
                <w:rFonts w:ascii="Helvetica Neue" w:eastAsia="Times New Roman" w:hAnsi="Helvetica Neue" w:cs="Times New Roman"/>
                <w:color w:val="000000"/>
                <w:lang w:eastAsia="fr-FR"/>
              </w:rPr>
              <w:t>Mme Muller</w:t>
            </w:r>
          </w:p>
        </w:tc>
        <w:tc>
          <w:tcPr>
            <w:tcW w:w="742"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3</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r>
      <w:tr w:rsidR="005058F4" w:rsidRPr="00411CFA" w:rsidTr="00D42B55">
        <w:trPr>
          <w:trHeight w:val="645"/>
        </w:trPr>
        <w:tc>
          <w:tcPr>
            <w:tcW w:w="4443" w:type="dxa"/>
            <w:tcBorders>
              <w:top w:val="single" w:sz="12" w:space="0" w:color="auto"/>
              <w:left w:val="single" w:sz="12" w:space="0" w:color="auto"/>
              <w:bottom w:val="nil"/>
              <w:right w:val="single" w:sz="12" w:space="0" w:color="auto"/>
            </w:tcBorders>
            <w:shd w:val="clear" w:color="000000" w:fill="BFBFBF"/>
            <w:noWrap/>
            <w:vAlign w:val="center"/>
            <w:hideMark/>
          </w:tcPr>
          <w:p w:rsidR="005058F4" w:rsidRPr="00411CFA" w:rsidRDefault="005058F4" w:rsidP="00D42B55">
            <w:pPr>
              <w:spacing w:after="0" w:line="240" w:lineRule="auto"/>
              <w:rPr>
                <w:rFonts w:ascii="Helvetica Neue" w:eastAsia="Times New Roman" w:hAnsi="Helvetica Neue" w:cs="Times New Roman"/>
                <w:b/>
                <w:bCs/>
                <w:color w:val="000000"/>
                <w:lang w:eastAsia="fr-FR"/>
              </w:rPr>
            </w:pPr>
            <w:r w:rsidRPr="00411CFA">
              <w:rPr>
                <w:rFonts w:ascii="Helvetica Neue" w:eastAsia="Times New Roman" w:hAnsi="Helvetica Neue" w:cs="Times New Roman"/>
                <w:b/>
                <w:bCs/>
                <w:color w:val="000000"/>
                <w:lang w:eastAsia="fr-FR"/>
              </w:rPr>
              <w:t>Méthodologie Economique</w:t>
            </w:r>
          </w:p>
        </w:tc>
        <w:tc>
          <w:tcPr>
            <w:tcW w:w="2140" w:type="dxa"/>
            <w:gridSpan w:val="5"/>
            <w:tcBorders>
              <w:top w:val="single" w:sz="12" w:space="0" w:color="auto"/>
              <w:left w:val="single" w:sz="12" w:space="0" w:color="auto"/>
              <w:bottom w:val="single" w:sz="12" w:space="0" w:color="auto"/>
              <w:right w:val="single" w:sz="12" w:space="0" w:color="auto"/>
            </w:tcBorders>
            <w:shd w:val="clear" w:color="000000" w:fill="BFBFBF"/>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p>
        </w:tc>
        <w:tc>
          <w:tcPr>
            <w:tcW w:w="2576" w:type="dxa"/>
            <w:gridSpan w:val="3"/>
            <w:tcBorders>
              <w:top w:val="single" w:sz="12" w:space="0" w:color="auto"/>
              <w:left w:val="single" w:sz="12" w:space="0" w:color="auto"/>
              <w:bottom w:val="single" w:sz="12" w:space="0" w:color="auto"/>
              <w:right w:val="single" w:sz="12" w:space="0" w:color="auto"/>
            </w:tcBorders>
            <w:shd w:val="clear" w:color="000000" w:fill="BFBFBF"/>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 </w:t>
            </w:r>
          </w:p>
        </w:tc>
      </w:tr>
      <w:tr w:rsidR="005058F4" w:rsidRPr="00411CFA" w:rsidTr="00D42B55">
        <w:trPr>
          <w:trHeight w:val="300"/>
        </w:trPr>
        <w:tc>
          <w:tcPr>
            <w:tcW w:w="4443" w:type="dxa"/>
            <w:tcBorders>
              <w:top w:val="single" w:sz="8" w:space="0" w:color="auto"/>
              <w:left w:val="single" w:sz="8" w:space="0" w:color="auto"/>
              <w:bottom w:val="single" w:sz="8" w:space="0" w:color="auto"/>
              <w:right w:val="single" w:sz="12" w:space="0" w:color="auto"/>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Evaluation des politiques publiques</w:t>
            </w:r>
            <w:r>
              <w:rPr>
                <w:rFonts w:ascii="Helvetica Neue" w:eastAsia="Times New Roman" w:hAnsi="Helvetica Neue" w:cs="Times New Roman"/>
                <w:color w:val="000000"/>
                <w:lang w:eastAsia="fr-FR"/>
              </w:rPr>
              <w:t xml:space="preserve"> </w:t>
            </w:r>
          </w:p>
        </w:tc>
        <w:tc>
          <w:tcPr>
            <w:tcW w:w="2140" w:type="dxa"/>
            <w:gridSpan w:val="5"/>
            <w:tcBorders>
              <w:top w:val="single" w:sz="12" w:space="0" w:color="auto"/>
              <w:left w:val="single" w:sz="12" w:space="0" w:color="auto"/>
              <w:bottom w:val="single" w:sz="12" w:space="0" w:color="auto"/>
              <w:right w:val="single" w:sz="12" w:space="0" w:color="auto"/>
            </w:tcBorders>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M Baudry</w:t>
            </w:r>
          </w:p>
        </w:tc>
        <w:tc>
          <w:tcPr>
            <w:tcW w:w="742" w:type="dxa"/>
            <w:tcBorders>
              <w:top w:val="nil"/>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3</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r>
      <w:tr w:rsidR="005058F4" w:rsidRPr="00411CFA" w:rsidTr="00D42B55">
        <w:trPr>
          <w:trHeight w:val="300"/>
        </w:trPr>
        <w:tc>
          <w:tcPr>
            <w:tcW w:w="4443" w:type="dxa"/>
            <w:tcBorders>
              <w:top w:val="nil"/>
              <w:left w:val="single" w:sz="8" w:space="0" w:color="auto"/>
              <w:bottom w:val="single" w:sz="8" w:space="0" w:color="auto"/>
              <w:right w:val="single" w:sz="12" w:space="0" w:color="auto"/>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 xml:space="preserve">Jeux et négociations </w:t>
            </w:r>
          </w:p>
        </w:tc>
        <w:tc>
          <w:tcPr>
            <w:tcW w:w="2140" w:type="dxa"/>
            <w:gridSpan w:val="5"/>
            <w:tcBorders>
              <w:top w:val="single" w:sz="12" w:space="0" w:color="auto"/>
              <w:left w:val="single" w:sz="12" w:space="0" w:color="auto"/>
              <w:bottom w:val="single" w:sz="12" w:space="0" w:color="auto"/>
              <w:right w:val="single" w:sz="12" w:space="0" w:color="auto"/>
            </w:tcBorders>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M Souam</w:t>
            </w:r>
          </w:p>
        </w:tc>
        <w:tc>
          <w:tcPr>
            <w:tcW w:w="742"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3</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r>
      <w:tr w:rsidR="005058F4" w:rsidRPr="00411CFA" w:rsidTr="00D42B55">
        <w:trPr>
          <w:trHeight w:val="315"/>
        </w:trPr>
        <w:tc>
          <w:tcPr>
            <w:tcW w:w="4443" w:type="dxa"/>
            <w:tcBorders>
              <w:top w:val="nil"/>
              <w:left w:val="single" w:sz="8" w:space="0" w:color="auto"/>
              <w:bottom w:val="single" w:sz="8" w:space="0" w:color="auto"/>
              <w:right w:val="single" w:sz="8" w:space="0" w:color="auto"/>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Econométrie des variables qualitatives </w:t>
            </w:r>
          </w:p>
        </w:tc>
        <w:tc>
          <w:tcPr>
            <w:tcW w:w="2140" w:type="dxa"/>
            <w:gridSpan w:val="5"/>
            <w:tcBorders>
              <w:top w:val="nil"/>
              <w:left w:val="single" w:sz="12" w:space="0" w:color="auto"/>
              <w:bottom w:val="single" w:sz="12" w:space="0" w:color="auto"/>
              <w:right w:val="single" w:sz="12" w:space="0" w:color="auto"/>
            </w:tcBorders>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Mme El Badaoui</w:t>
            </w:r>
          </w:p>
        </w:tc>
        <w:tc>
          <w:tcPr>
            <w:tcW w:w="742" w:type="dxa"/>
            <w:tcBorders>
              <w:top w:val="nil"/>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3</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r>
      <w:tr w:rsidR="005058F4" w:rsidRPr="00411CFA" w:rsidTr="00D42B55">
        <w:trPr>
          <w:trHeight w:val="630"/>
        </w:trPr>
        <w:tc>
          <w:tcPr>
            <w:tcW w:w="4443" w:type="dxa"/>
            <w:tcBorders>
              <w:top w:val="single" w:sz="8" w:space="0" w:color="auto"/>
              <w:left w:val="single" w:sz="8" w:space="0" w:color="auto"/>
              <w:bottom w:val="single" w:sz="8" w:space="0" w:color="000000"/>
              <w:right w:val="single" w:sz="8" w:space="0" w:color="000000"/>
            </w:tcBorders>
            <w:shd w:val="clear" w:color="000000" w:fill="808080"/>
            <w:noWrap/>
            <w:vAlign w:val="center"/>
            <w:hideMark/>
          </w:tcPr>
          <w:p w:rsidR="005058F4" w:rsidRPr="00411CFA" w:rsidRDefault="005058F4" w:rsidP="00D42B55">
            <w:pPr>
              <w:spacing w:after="0" w:line="240" w:lineRule="auto"/>
              <w:rPr>
                <w:rFonts w:ascii="Helvetica Neue" w:eastAsia="Times New Roman" w:hAnsi="Helvetica Neue" w:cs="Times New Roman"/>
                <w:b/>
                <w:bCs/>
                <w:color w:val="000000"/>
                <w:lang w:eastAsia="fr-FR"/>
              </w:rPr>
            </w:pPr>
            <w:r w:rsidRPr="00411CFA">
              <w:rPr>
                <w:rFonts w:ascii="Helvetica Neue" w:eastAsia="Times New Roman" w:hAnsi="Helvetica Neue" w:cs="Times New Roman"/>
                <w:b/>
                <w:bCs/>
                <w:color w:val="000000"/>
                <w:lang w:eastAsia="fr-FR"/>
              </w:rPr>
              <w:t>Travaux encadrés</w:t>
            </w:r>
          </w:p>
        </w:tc>
        <w:tc>
          <w:tcPr>
            <w:tcW w:w="2140" w:type="dxa"/>
            <w:gridSpan w:val="5"/>
            <w:tcBorders>
              <w:top w:val="single" w:sz="12" w:space="0" w:color="auto"/>
              <w:left w:val="single" w:sz="8" w:space="0" w:color="auto"/>
              <w:bottom w:val="single" w:sz="12" w:space="0" w:color="auto"/>
              <w:right w:val="single" w:sz="8" w:space="0" w:color="auto"/>
            </w:tcBorders>
            <w:shd w:val="clear" w:color="000000" w:fill="808080"/>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p>
        </w:tc>
        <w:tc>
          <w:tcPr>
            <w:tcW w:w="2576" w:type="dxa"/>
            <w:gridSpan w:val="3"/>
            <w:tcBorders>
              <w:top w:val="single" w:sz="12" w:space="0" w:color="auto"/>
              <w:left w:val="single" w:sz="8" w:space="0" w:color="auto"/>
              <w:bottom w:val="single" w:sz="12" w:space="0" w:color="000000"/>
              <w:right w:val="nil"/>
            </w:tcBorders>
            <w:shd w:val="clear" w:color="000000" w:fill="808080"/>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 </w:t>
            </w:r>
          </w:p>
        </w:tc>
      </w:tr>
      <w:tr w:rsidR="005058F4" w:rsidRPr="00411CFA" w:rsidTr="00D42B55">
        <w:trPr>
          <w:trHeight w:val="315"/>
        </w:trPr>
        <w:tc>
          <w:tcPr>
            <w:tcW w:w="4443" w:type="dxa"/>
            <w:tcBorders>
              <w:top w:val="single" w:sz="8" w:space="0" w:color="auto"/>
              <w:left w:val="single" w:sz="8" w:space="0" w:color="auto"/>
              <w:bottom w:val="single" w:sz="8" w:space="0" w:color="auto"/>
              <w:right w:val="single" w:sz="12" w:space="0" w:color="000000"/>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Atelier pratique de l'expertise et du conseil</w:t>
            </w:r>
          </w:p>
        </w:tc>
        <w:tc>
          <w:tcPr>
            <w:tcW w:w="2140" w:type="dxa"/>
            <w:gridSpan w:val="5"/>
            <w:tcBorders>
              <w:top w:val="single" w:sz="12" w:space="0" w:color="auto"/>
              <w:left w:val="nil"/>
              <w:bottom w:val="single" w:sz="12" w:space="0" w:color="auto"/>
              <w:right w:val="single" w:sz="12" w:space="0" w:color="auto"/>
            </w:tcBorders>
          </w:tcPr>
          <w:p w:rsidR="005058F4" w:rsidRPr="00BB71B9" w:rsidRDefault="00493127" w:rsidP="00D42B55">
            <w:pPr>
              <w:spacing w:after="0" w:line="240" w:lineRule="auto"/>
              <w:jc w:val="center"/>
              <w:rPr>
                <w:rFonts w:ascii="Helvetica Neue" w:eastAsia="Times New Roman" w:hAnsi="Helvetica Neue" w:cs="Times New Roman"/>
                <w:color w:val="000000"/>
                <w:sz w:val="24"/>
                <w:szCs w:val="24"/>
                <w:lang w:eastAsia="fr-FR"/>
              </w:rPr>
            </w:pPr>
            <w:r>
              <w:rPr>
                <w:rFonts w:ascii="Helvetica Neue" w:eastAsia="Times New Roman" w:hAnsi="Helvetica Neue" w:cs="Times New Roman"/>
                <w:color w:val="000000"/>
                <w:sz w:val="24"/>
                <w:szCs w:val="24"/>
                <w:lang w:eastAsia="fr-FR"/>
              </w:rPr>
              <w:t>P</w:t>
            </w:r>
            <w:r w:rsidR="00010637">
              <w:rPr>
                <w:rFonts w:ascii="Helvetica Neue" w:eastAsia="Times New Roman" w:hAnsi="Helvetica Neue" w:cs="Times New Roman"/>
                <w:color w:val="000000"/>
                <w:sz w:val="24"/>
                <w:szCs w:val="24"/>
                <w:lang w:eastAsia="fr-FR"/>
              </w:rPr>
              <w:t>rofessionnels</w:t>
            </w:r>
            <w:r w:rsidR="00BD775E">
              <w:rPr>
                <w:rFonts w:ascii="Helvetica Neue" w:eastAsia="Times New Roman" w:hAnsi="Helvetica Neue" w:cs="Times New Roman"/>
                <w:color w:val="000000"/>
                <w:sz w:val="24"/>
                <w:szCs w:val="24"/>
                <w:lang w:eastAsia="fr-FR"/>
              </w:rPr>
              <w:t xml:space="preserve"> </w:t>
            </w:r>
            <w:r w:rsidR="00BD775E" w:rsidRPr="00BD775E">
              <w:rPr>
                <w:rFonts w:ascii="Helvetica Neue" w:eastAsia="Times New Roman" w:hAnsi="Helvetica Neue" w:cs="Times New Roman"/>
                <w:color w:val="000000"/>
                <w:sz w:val="24"/>
                <w:szCs w:val="24"/>
                <w:vertAlign w:val="superscript"/>
                <w:lang w:eastAsia="fr-FR"/>
              </w:rPr>
              <w:t>a</w:t>
            </w:r>
          </w:p>
        </w:tc>
        <w:tc>
          <w:tcPr>
            <w:tcW w:w="742" w:type="dxa"/>
            <w:tcBorders>
              <w:top w:val="nil"/>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3</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r>
      <w:tr w:rsidR="005058F4" w:rsidRPr="00411CFA" w:rsidTr="00D42B55">
        <w:trPr>
          <w:trHeight w:val="315"/>
        </w:trPr>
        <w:tc>
          <w:tcPr>
            <w:tcW w:w="4443" w:type="dxa"/>
            <w:tcBorders>
              <w:top w:val="nil"/>
              <w:left w:val="single" w:sz="8" w:space="0" w:color="auto"/>
              <w:bottom w:val="single" w:sz="12" w:space="0" w:color="auto"/>
              <w:right w:val="single" w:sz="12" w:space="0" w:color="000000"/>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Workshop in Law &amp; Economics</w:t>
            </w:r>
          </w:p>
        </w:tc>
        <w:tc>
          <w:tcPr>
            <w:tcW w:w="2140" w:type="dxa"/>
            <w:gridSpan w:val="5"/>
            <w:tcBorders>
              <w:top w:val="single" w:sz="12" w:space="0" w:color="auto"/>
              <w:left w:val="nil"/>
              <w:bottom w:val="single" w:sz="12" w:space="0" w:color="auto"/>
              <w:right w:val="single" w:sz="12" w:space="0" w:color="auto"/>
            </w:tcBorders>
          </w:tcPr>
          <w:p w:rsidR="005058F4" w:rsidRPr="00411CFA" w:rsidRDefault="00233FDF" w:rsidP="00233FDF">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sz w:val="24"/>
                <w:szCs w:val="24"/>
                <w:lang w:eastAsia="fr-FR"/>
              </w:rPr>
              <w:t>Partenaire</w:t>
            </w:r>
            <w:r w:rsidR="003365DD">
              <w:rPr>
                <w:rFonts w:ascii="Helvetica Neue" w:eastAsia="Times New Roman" w:hAnsi="Helvetica Neue" w:cs="Times New Roman"/>
                <w:color w:val="000000"/>
                <w:sz w:val="24"/>
                <w:szCs w:val="24"/>
                <w:lang w:eastAsia="fr-FR"/>
              </w:rPr>
              <w:t>s</w:t>
            </w:r>
            <w:r>
              <w:rPr>
                <w:rFonts w:ascii="Helvetica Neue" w:eastAsia="Times New Roman" w:hAnsi="Helvetica Neue" w:cs="Times New Roman"/>
                <w:color w:val="000000"/>
                <w:sz w:val="24"/>
                <w:szCs w:val="24"/>
                <w:lang w:eastAsia="fr-FR"/>
              </w:rPr>
              <w:t xml:space="preserve"> </w:t>
            </w:r>
            <w:r w:rsidRPr="00233FDF">
              <w:rPr>
                <w:rFonts w:ascii="Helvetica Neue" w:eastAsia="Times New Roman" w:hAnsi="Helvetica Neue" w:cs="Times New Roman"/>
                <w:color w:val="000000"/>
                <w:sz w:val="24"/>
                <w:szCs w:val="24"/>
                <w:vertAlign w:val="superscript"/>
                <w:lang w:eastAsia="fr-FR"/>
              </w:rPr>
              <w:t>b</w:t>
            </w:r>
          </w:p>
        </w:tc>
        <w:tc>
          <w:tcPr>
            <w:tcW w:w="742" w:type="dxa"/>
            <w:tcBorders>
              <w:top w:val="nil"/>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3</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r>
      <w:tr w:rsidR="005058F4" w:rsidRPr="00411CFA" w:rsidTr="00D42B55">
        <w:trPr>
          <w:trHeight w:val="330"/>
        </w:trPr>
        <w:tc>
          <w:tcPr>
            <w:tcW w:w="0" w:type="auto"/>
            <w:gridSpan w:val="2"/>
            <w:tcBorders>
              <w:top w:val="nil"/>
              <w:left w:val="single" w:sz="12" w:space="0" w:color="auto"/>
              <w:bottom w:val="single" w:sz="12" w:space="0" w:color="auto"/>
              <w:right w:val="nil"/>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b/>
                <w:bCs/>
                <w:color w:val="000000"/>
                <w:lang w:eastAsia="fr-FR"/>
              </w:rPr>
            </w:pPr>
            <w:r w:rsidRPr="00411CFA">
              <w:rPr>
                <w:rFonts w:ascii="Helvetica Neue" w:eastAsia="Times New Roman" w:hAnsi="Helvetica Neue" w:cs="Times New Roman"/>
                <w:b/>
                <w:bCs/>
                <w:color w:val="000000"/>
                <w:lang w:eastAsia="fr-FR"/>
              </w:rPr>
              <w:t>TOTAL</w:t>
            </w:r>
          </w:p>
        </w:tc>
        <w:tc>
          <w:tcPr>
            <w:tcW w:w="344" w:type="dxa"/>
            <w:gridSpan w:val="2"/>
            <w:tcBorders>
              <w:top w:val="nil"/>
              <w:left w:val="nil"/>
              <w:bottom w:val="single" w:sz="12" w:space="0" w:color="auto"/>
              <w:right w:val="nil"/>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 </w:t>
            </w:r>
          </w:p>
        </w:tc>
        <w:tc>
          <w:tcPr>
            <w:tcW w:w="1650" w:type="dxa"/>
            <w:gridSpan w:val="2"/>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 </w:t>
            </w:r>
          </w:p>
        </w:tc>
        <w:tc>
          <w:tcPr>
            <w:tcW w:w="742" w:type="dxa"/>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30</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200</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200</w:t>
            </w:r>
          </w:p>
        </w:tc>
      </w:tr>
      <w:tr w:rsidR="00BD775E" w:rsidRPr="00411CFA" w:rsidTr="00FD5D34">
        <w:trPr>
          <w:trHeight w:val="300"/>
        </w:trPr>
        <w:tc>
          <w:tcPr>
            <w:tcW w:w="9159" w:type="dxa"/>
            <w:gridSpan w:val="9"/>
            <w:tcBorders>
              <w:top w:val="nil"/>
              <w:left w:val="nil"/>
              <w:bottom w:val="nil"/>
              <w:right w:val="nil"/>
            </w:tcBorders>
            <w:shd w:val="clear" w:color="auto" w:fill="auto"/>
            <w:noWrap/>
            <w:vAlign w:val="bottom"/>
            <w:hideMark/>
          </w:tcPr>
          <w:p w:rsidR="001E0DDD" w:rsidRDefault="00BD775E" w:rsidP="00BD775E">
            <w:pPr>
              <w:spacing w:after="0" w:line="240" w:lineRule="auto"/>
              <w:jc w:val="both"/>
              <w:rPr>
                <w:rFonts w:ascii="Bookman Old Style" w:hAnsi="Bookman Old Style"/>
              </w:rPr>
            </w:pPr>
            <w:r w:rsidRPr="00BD775E">
              <w:rPr>
                <w:rFonts w:ascii="Helvetica Neue" w:eastAsia="Times New Roman" w:hAnsi="Helvetica Neue" w:cs="Times New Roman"/>
                <w:color w:val="000000"/>
                <w:sz w:val="24"/>
                <w:szCs w:val="24"/>
                <w:vertAlign w:val="superscript"/>
                <w:lang w:eastAsia="fr-FR"/>
              </w:rPr>
              <w:t>a</w:t>
            </w:r>
            <w:r w:rsidRPr="007E5A58">
              <w:rPr>
                <w:rFonts w:ascii="Bookman Old Style" w:hAnsi="Bookman Old Style"/>
              </w:rPr>
              <w:t xml:space="preserve"> Lors de l’année universitaire 201</w:t>
            </w:r>
            <w:r w:rsidR="00912BB2">
              <w:rPr>
                <w:rFonts w:ascii="Bookman Old Style" w:hAnsi="Bookman Old Style"/>
              </w:rPr>
              <w:t>5</w:t>
            </w:r>
            <w:r w:rsidRPr="007E5A58">
              <w:rPr>
                <w:rFonts w:ascii="Bookman Old Style" w:hAnsi="Bookman Old Style"/>
              </w:rPr>
              <w:t>-201</w:t>
            </w:r>
            <w:r w:rsidR="00912BB2">
              <w:rPr>
                <w:rFonts w:ascii="Bookman Old Style" w:hAnsi="Bookman Old Style"/>
              </w:rPr>
              <w:t>6</w:t>
            </w:r>
            <w:r w:rsidRPr="007E5A58">
              <w:rPr>
                <w:rFonts w:ascii="Bookman Old Style" w:hAnsi="Bookman Old Style"/>
              </w:rPr>
              <w:t>, l</w:t>
            </w:r>
            <w:r w:rsidR="001E0DDD">
              <w:rPr>
                <w:rFonts w:ascii="Bookman Old Style" w:hAnsi="Bookman Old Style"/>
              </w:rPr>
              <w:t xml:space="preserve">es </w:t>
            </w:r>
            <w:r w:rsidRPr="007E5A58">
              <w:rPr>
                <w:rFonts w:ascii="Bookman Old Style" w:hAnsi="Bookman Old Style"/>
              </w:rPr>
              <w:t>enseignement</w:t>
            </w:r>
            <w:r w:rsidR="001E0DDD">
              <w:rPr>
                <w:rFonts w:ascii="Bookman Old Style" w:hAnsi="Bookman Old Style"/>
              </w:rPr>
              <w:t xml:space="preserve">s « Dynamique des systèmes juridiques » et </w:t>
            </w:r>
            <w:r w:rsidRPr="007E5A58">
              <w:rPr>
                <w:rFonts w:ascii="Bookman Old Style" w:hAnsi="Bookman Old Style"/>
              </w:rPr>
              <w:t xml:space="preserve"> « Atelier pratique de l’expertise et du conseil » </w:t>
            </w:r>
            <w:r w:rsidR="001E0DDD">
              <w:rPr>
                <w:rFonts w:ascii="Bookman Old Style" w:hAnsi="Bookman Old Style"/>
              </w:rPr>
              <w:t>sont</w:t>
            </w:r>
            <w:r w:rsidRPr="007E5A58">
              <w:rPr>
                <w:rFonts w:ascii="Bookman Old Style" w:hAnsi="Bookman Old Style"/>
              </w:rPr>
              <w:t xml:space="preserve"> animé</w:t>
            </w:r>
            <w:r w:rsidR="001E0DDD">
              <w:rPr>
                <w:rFonts w:ascii="Bookman Old Style" w:hAnsi="Bookman Old Style"/>
              </w:rPr>
              <w:t>s</w:t>
            </w:r>
            <w:r w:rsidRPr="007E5A58">
              <w:rPr>
                <w:rFonts w:ascii="Bookman Old Style" w:hAnsi="Bookman Old Style"/>
              </w:rPr>
              <w:t xml:space="preserve"> par M Etienne Pfister (économiste-chef à l’Autorité de le Concurrence), M Olivier Sautel (Cabinet Micr</w:t>
            </w:r>
            <w:r w:rsidR="003F0CDE">
              <w:rPr>
                <w:rFonts w:ascii="Bookman Old Style" w:hAnsi="Bookman Old Style" w:cs="Times New Roman"/>
              </w:rPr>
              <w:t>oeconomix</w:t>
            </w:r>
            <w:r w:rsidRPr="007E5A58">
              <w:rPr>
                <w:rFonts w:ascii="Bookman Old Style" w:hAnsi="Bookman Old Style" w:cs="Times New Roman"/>
              </w:rPr>
              <w:t>), M Nicolas Petit (Liege Competition and Innovation Institute</w:t>
            </w:r>
            <w:r w:rsidRPr="007E5A58">
              <w:rPr>
                <w:rFonts w:ascii="Bookman Old Style" w:hAnsi="Bookman Old Style"/>
              </w:rPr>
              <w:t xml:space="preserve">), </w:t>
            </w:r>
            <w:r w:rsidR="001E0DDD">
              <w:rPr>
                <w:rFonts w:ascii="Bookman Old Style" w:hAnsi="Bookman Old Style"/>
              </w:rPr>
              <w:t xml:space="preserve">M Philipponnat (Aurorité des Marchés Financiers) </w:t>
            </w:r>
            <w:r w:rsidRPr="007E5A58">
              <w:rPr>
                <w:rFonts w:ascii="Bookman Old Style" w:hAnsi="Bookman Old Style"/>
              </w:rPr>
              <w:t>et Mme Anne Perrot (Cabinet</w:t>
            </w:r>
            <w:r w:rsidR="001E0DDD">
              <w:rPr>
                <w:rFonts w:ascii="Bookman Old Style" w:hAnsi="Bookman Old Style"/>
              </w:rPr>
              <w:t xml:space="preserve"> </w:t>
            </w:r>
            <w:r w:rsidRPr="007E5A58">
              <w:rPr>
                <w:rFonts w:ascii="Bookman Old Style" w:hAnsi="Bookman Old Style"/>
              </w:rPr>
              <w:t>MAPP).</w:t>
            </w:r>
          </w:p>
          <w:p w:rsidR="00FC2EB6" w:rsidRDefault="00233FDF" w:rsidP="00734C3B">
            <w:pPr>
              <w:spacing w:after="0" w:line="240" w:lineRule="auto"/>
              <w:jc w:val="both"/>
              <w:rPr>
                <w:rFonts w:ascii="Bookman Old Style" w:hAnsi="Bookman Old Style"/>
              </w:rPr>
            </w:pPr>
            <w:r>
              <w:rPr>
                <w:rFonts w:ascii="Bookman Old Style" w:hAnsi="Bookman Old Style"/>
              </w:rPr>
              <w:br/>
            </w:r>
            <w:r>
              <w:rPr>
                <w:rFonts w:ascii="Helvetica Neue" w:eastAsia="Times New Roman" w:hAnsi="Helvetica Neue" w:cs="Times New Roman"/>
                <w:color w:val="000000"/>
                <w:sz w:val="24"/>
                <w:szCs w:val="24"/>
                <w:vertAlign w:val="superscript"/>
                <w:lang w:eastAsia="fr-FR"/>
              </w:rPr>
              <w:t>b</w:t>
            </w:r>
            <w:r w:rsidRPr="007E5A58">
              <w:rPr>
                <w:rFonts w:ascii="Bookman Old Style" w:hAnsi="Bookman Old Style"/>
              </w:rPr>
              <w:t xml:space="preserve"> </w:t>
            </w:r>
            <w:r>
              <w:rPr>
                <w:rFonts w:ascii="Bookman Old Style" w:hAnsi="Bookman Old Style"/>
              </w:rPr>
              <w:t>Animé par les partenaires scientifiques et professionnels du réseau (cf page 6).</w:t>
            </w:r>
          </w:p>
          <w:p w:rsidR="00734C3B" w:rsidRDefault="00734C3B" w:rsidP="00734C3B">
            <w:pPr>
              <w:spacing w:after="0" w:line="240" w:lineRule="auto"/>
              <w:jc w:val="both"/>
              <w:rPr>
                <w:rFonts w:ascii="Helvetica Neue" w:eastAsia="Times New Roman" w:hAnsi="Helvetica Neue" w:cs="Times New Roman"/>
                <w:color w:val="000000"/>
                <w:lang w:eastAsia="fr-FR"/>
              </w:rPr>
            </w:pPr>
          </w:p>
          <w:p w:rsidR="00BD775E" w:rsidRPr="00411CFA" w:rsidRDefault="00BD775E"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 </w:t>
            </w:r>
          </w:p>
        </w:tc>
      </w:tr>
      <w:tr w:rsidR="005058F4" w:rsidRPr="00411CFA" w:rsidTr="00D42B55">
        <w:trPr>
          <w:trHeight w:val="315"/>
        </w:trPr>
        <w:tc>
          <w:tcPr>
            <w:tcW w:w="0" w:type="auto"/>
            <w:tcBorders>
              <w:top w:val="nil"/>
              <w:left w:val="nil"/>
              <w:bottom w:val="nil"/>
              <w:right w:val="nil"/>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b/>
                <w:bCs/>
                <w:color w:val="000000"/>
                <w:lang w:eastAsia="fr-FR"/>
              </w:rPr>
            </w:pPr>
            <w:r w:rsidRPr="00411CFA">
              <w:rPr>
                <w:rFonts w:ascii="Helvetica Neue" w:eastAsia="Times New Roman" w:hAnsi="Helvetica Neue" w:cs="Times New Roman"/>
                <w:b/>
                <w:bCs/>
                <w:color w:val="000000"/>
                <w:lang w:eastAsia="fr-FR"/>
              </w:rPr>
              <w:lastRenderedPageBreak/>
              <w:t>semestre 2</w:t>
            </w:r>
          </w:p>
        </w:tc>
        <w:tc>
          <w:tcPr>
            <w:tcW w:w="0" w:type="auto"/>
            <w:tcBorders>
              <w:top w:val="nil"/>
              <w:left w:val="nil"/>
              <w:bottom w:val="nil"/>
              <w:right w:val="nil"/>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p>
        </w:tc>
        <w:tc>
          <w:tcPr>
            <w:tcW w:w="344" w:type="dxa"/>
            <w:gridSpan w:val="2"/>
            <w:tcBorders>
              <w:top w:val="nil"/>
              <w:left w:val="nil"/>
              <w:bottom w:val="nil"/>
              <w:right w:val="nil"/>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p>
        </w:tc>
        <w:tc>
          <w:tcPr>
            <w:tcW w:w="1650" w:type="dxa"/>
            <w:gridSpan w:val="2"/>
            <w:tcBorders>
              <w:top w:val="nil"/>
              <w:left w:val="nil"/>
              <w:bottom w:val="nil"/>
              <w:right w:val="nil"/>
            </w:tcBorders>
          </w:tcPr>
          <w:p w:rsidR="005058F4" w:rsidRPr="00411CFA" w:rsidRDefault="005058F4" w:rsidP="00D42B55">
            <w:pPr>
              <w:spacing w:after="0" w:line="240" w:lineRule="auto"/>
              <w:rPr>
                <w:rFonts w:ascii="Helvetica Neue" w:eastAsia="Times New Roman" w:hAnsi="Helvetica Neue" w:cs="Times New Roman"/>
                <w:color w:val="000000"/>
                <w:lang w:eastAsia="fr-FR"/>
              </w:rPr>
            </w:pPr>
          </w:p>
        </w:tc>
        <w:tc>
          <w:tcPr>
            <w:tcW w:w="742" w:type="dxa"/>
            <w:tcBorders>
              <w:top w:val="nil"/>
              <w:left w:val="nil"/>
              <w:bottom w:val="nil"/>
              <w:right w:val="nil"/>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p>
        </w:tc>
        <w:tc>
          <w:tcPr>
            <w:tcW w:w="0" w:type="auto"/>
            <w:tcBorders>
              <w:top w:val="nil"/>
              <w:left w:val="nil"/>
              <w:bottom w:val="nil"/>
              <w:right w:val="nil"/>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p>
        </w:tc>
        <w:tc>
          <w:tcPr>
            <w:tcW w:w="0" w:type="auto"/>
            <w:tcBorders>
              <w:top w:val="nil"/>
              <w:left w:val="nil"/>
              <w:bottom w:val="nil"/>
              <w:right w:val="nil"/>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p>
        </w:tc>
      </w:tr>
      <w:tr w:rsidR="005058F4" w:rsidRPr="00411CFA" w:rsidTr="00D42B55">
        <w:trPr>
          <w:trHeight w:val="330"/>
        </w:trPr>
        <w:tc>
          <w:tcPr>
            <w:tcW w:w="4443" w:type="dxa"/>
            <w:vMerge w:val="restart"/>
            <w:tcBorders>
              <w:top w:val="single" w:sz="12" w:space="0" w:color="auto"/>
              <w:left w:val="single" w:sz="12" w:space="0" w:color="auto"/>
              <w:bottom w:val="single" w:sz="12" w:space="0" w:color="000000"/>
              <w:right w:val="single" w:sz="12" w:space="0" w:color="000000"/>
            </w:tcBorders>
            <w:shd w:val="clear" w:color="000000" w:fill="BFBFBF"/>
            <w:noWrap/>
            <w:vAlign w:val="center"/>
            <w:hideMark/>
          </w:tcPr>
          <w:p w:rsidR="005058F4" w:rsidRPr="00411CFA" w:rsidRDefault="005058F4" w:rsidP="00D42B55">
            <w:pPr>
              <w:spacing w:after="0" w:line="240" w:lineRule="auto"/>
              <w:rPr>
                <w:rFonts w:ascii="Helvetica Neue" w:eastAsia="Times New Roman" w:hAnsi="Helvetica Neue" w:cs="Times New Roman"/>
                <w:b/>
                <w:bCs/>
                <w:color w:val="000000"/>
                <w:lang w:eastAsia="fr-FR"/>
              </w:rPr>
            </w:pPr>
            <w:r w:rsidRPr="00411CFA">
              <w:rPr>
                <w:rFonts w:ascii="Helvetica Neue" w:eastAsia="Times New Roman" w:hAnsi="Helvetica Neue" w:cs="Times New Roman"/>
                <w:b/>
                <w:bCs/>
                <w:color w:val="000000"/>
                <w:lang w:eastAsia="fr-FR"/>
              </w:rPr>
              <w:t>Economie et Droit</w:t>
            </w:r>
          </w:p>
        </w:tc>
        <w:tc>
          <w:tcPr>
            <w:tcW w:w="2140" w:type="dxa"/>
            <w:gridSpan w:val="5"/>
            <w:vMerge w:val="restart"/>
            <w:tcBorders>
              <w:top w:val="single" w:sz="12" w:space="0" w:color="auto"/>
              <w:left w:val="single" w:sz="12" w:space="0" w:color="auto"/>
              <w:right w:val="single" w:sz="12" w:space="0" w:color="auto"/>
            </w:tcBorders>
            <w:shd w:val="clear" w:color="000000" w:fill="D8D8D8"/>
          </w:tcPr>
          <w:p w:rsidR="005058F4" w:rsidRDefault="005058F4" w:rsidP="00D42B55">
            <w:pPr>
              <w:spacing w:after="0" w:line="240" w:lineRule="auto"/>
              <w:jc w:val="center"/>
              <w:rPr>
                <w:rFonts w:ascii="Helvetica Neue" w:eastAsia="Times New Roman" w:hAnsi="Helvetica Neue" w:cs="Times New Roman"/>
                <w:b/>
                <w:bCs/>
                <w:color w:val="000000"/>
                <w:lang w:eastAsia="fr-FR"/>
              </w:rPr>
            </w:pPr>
          </w:p>
          <w:p w:rsidR="005058F4" w:rsidRPr="00411CFA" w:rsidRDefault="005058F4" w:rsidP="00D42B55">
            <w:pPr>
              <w:spacing w:after="0" w:line="240" w:lineRule="auto"/>
              <w:jc w:val="center"/>
              <w:rPr>
                <w:rFonts w:ascii="Helvetica Neue" w:eastAsia="Times New Roman" w:hAnsi="Helvetica Neue" w:cs="Times New Roman"/>
                <w:b/>
                <w:bCs/>
                <w:color w:val="000000"/>
                <w:lang w:eastAsia="fr-FR"/>
              </w:rPr>
            </w:pPr>
            <w:r>
              <w:rPr>
                <w:rFonts w:ascii="Helvetica Neue" w:eastAsia="Times New Roman" w:hAnsi="Helvetica Neue" w:cs="Times New Roman"/>
                <w:b/>
                <w:bCs/>
                <w:color w:val="000000"/>
                <w:lang w:eastAsia="fr-FR"/>
              </w:rPr>
              <w:t>Enseignant</w:t>
            </w:r>
            <w:r w:rsidRPr="00D8212B">
              <w:rPr>
                <w:rFonts w:ascii="Helvetica Neue" w:eastAsia="Times New Roman" w:hAnsi="Helvetica Neue" w:cs="Times New Roman"/>
                <w:b/>
                <w:bCs/>
                <w:color w:val="000000"/>
                <w:lang w:eastAsia="fr-FR"/>
              </w:rPr>
              <w:t>s</w:t>
            </w:r>
          </w:p>
        </w:tc>
        <w:tc>
          <w:tcPr>
            <w:tcW w:w="742" w:type="dxa"/>
            <w:vMerge w:val="restart"/>
            <w:tcBorders>
              <w:top w:val="single" w:sz="12" w:space="0" w:color="auto"/>
              <w:left w:val="single" w:sz="12" w:space="0" w:color="auto"/>
              <w:bottom w:val="single" w:sz="12" w:space="0" w:color="auto"/>
              <w:right w:val="single" w:sz="12" w:space="0" w:color="auto"/>
            </w:tcBorders>
            <w:shd w:val="clear" w:color="000000" w:fill="D8D8D8"/>
            <w:noWrap/>
            <w:vAlign w:val="center"/>
            <w:hideMark/>
          </w:tcPr>
          <w:p w:rsidR="005058F4" w:rsidRPr="00411CFA" w:rsidRDefault="005058F4" w:rsidP="00D42B55">
            <w:pPr>
              <w:spacing w:after="0" w:line="240" w:lineRule="auto"/>
              <w:jc w:val="center"/>
              <w:rPr>
                <w:rFonts w:ascii="Helvetica Neue" w:eastAsia="Times New Roman" w:hAnsi="Helvetica Neue" w:cs="Times New Roman"/>
                <w:b/>
                <w:bCs/>
                <w:color w:val="000000"/>
                <w:lang w:eastAsia="fr-FR"/>
              </w:rPr>
            </w:pPr>
            <w:r w:rsidRPr="00411CFA">
              <w:rPr>
                <w:rFonts w:ascii="Helvetica Neue" w:eastAsia="Times New Roman" w:hAnsi="Helvetica Neue" w:cs="Times New Roman"/>
                <w:b/>
                <w:bCs/>
                <w:color w:val="000000"/>
                <w:lang w:eastAsia="fr-FR"/>
              </w:rPr>
              <w:t>ECTS</w:t>
            </w:r>
          </w:p>
        </w:tc>
        <w:tc>
          <w:tcPr>
            <w:tcW w:w="0" w:type="auto"/>
            <w:vMerge w:val="restart"/>
            <w:tcBorders>
              <w:top w:val="single" w:sz="12" w:space="0" w:color="auto"/>
              <w:left w:val="single" w:sz="12" w:space="0" w:color="auto"/>
              <w:bottom w:val="single" w:sz="12" w:space="0" w:color="auto"/>
              <w:right w:val="single" w:sz="12" w:space="0" w:color="auto"/>
            </w:tcBorders>
            <w:shd w:val="clear" w:color="000000" w:fill="D8D8D8"/>
            <w:noWrap/>
            <w:vAlign w:val="center"/>
            <w:hideMark/>
          </w:tcPr>
          <w:p w:rsidR="005058F4" w:rsidRPr="00411CFA" w:rsidRDefault="005058F4" w:rsidP="00D42B55">
            <w:pPr>
              <w:spacing w:after="0" w:line="240" w:lineRule="auto"/>
              <w:jc w:val="center"/>
              <w:rPr>
                <w:rFonts w:ascii="Helvetica Neue" w:eastAsia="Times New Roman" w:hAnsi="Helvetica Neue" w:cs="Times New Roman"/>
                <w:b/>
                <w:bCs/>
                <w:color w:val="000000"/>
                <w:lang w:eastAsia="fr-FR"/>
              </w:rPr>
            </w:pPr>
            <w:r w:rsidRPr="00411CFA">
              <w:rPr>
                <w:rFonts w:ascii="Helvetica Neue" w:eastAsia="Times New Roman" w:hAnsi="Helvetica Neue" w:cs="Times New Roman"/>
                <w:b/>
                <w:bCs/>
                <w:color w:val="000000"/>
                <w:lang w:eastAsia="fr-FR"/>
              </w:rPr>
              <w:t>CM</w:t>
            </w:r>
          </w:p>
        </w:tc>
        <w:tc>
          <w:tcPr>
            <w:tcW w:w="0" w:type="auto"/>
            <w:tcBorders>
              <w:top w:val="single" w:sz="12" w:space="0" w:color="auto"/>
              <w:left w:val="nil"/>
              <w:bottom w:val="nil"/>
              <w:right w:val="single" w:sz="12" w:space="0" w:color="auto"/>
            </w:tcBorders>
            <w:shd w:val="clear" w:color="000000" w:fill="D8D8D8"/>
            <w:noWrap/>
            <w:vAlign w:val="bottom"/>
            <w:hideMark/>
          </w:tcPr>
          <w:p w:rsidR="005058F4" w:rsidRPr="00411CFA" w:rsidRDefault="005058F4" w:rsidP="00D42B55">
            <w:pPr>
              <w:spacing w:after="0" w:line="240" w:lineRule="auto"/>
              <w:jc w:val="center"/>
              <w:rPr>
                <w:rFonts w:ascii="Helvetica Neue" w:eastAsia="Times New Roman" w:hAnsi="Helvetica Neue" w:cs="Times New Roman"/>
                <w:b/>
                <w:bCs/>
                <w:color w:val="000000"/>
                <w:lang w:eastAsia="fr-FR"/>
              </w:rPr>
            </w:pPr>
            <w:r w:rsidRPr="00411CFA">
              <w:rPr>
                <w:rFonts w:ascii="Helvetica Neue" w:eastAsia="Times New Roman" w:hAnsi="Helvetica Neue" w:cs="Times New Roman"/>
                <w:b/>
                <w:bCs/>
                <w:color w:val="000000"/>
                <w:lang w:eastAsia="fr-FR"/>
              </w:rPr>
              <w:t>Volume</w:t>
            </w:r>
          </w:p>
        </w:tc>
      </w:tr>
      <w:tr w:rsidR="005058F4" w:rsidRPr="00411CFA" w:rsidTr="00D42B55">
        <w:trPr>
          <w:trHeight w:val="330"/>
        </w:trPr>
        <w:tc>
          <w:tcPr>
            <w:tcW w:w="4443" w:type="dxa"/>
            <w:vMerge/>
            <w:tcBorders>
              <w:top w:val="single" w:sz="12" w:space="0" w:color="auto"/>
              <w:left w:val="single" w:sz="12" w:space="0" w:color="auto"/>
              <w:bottom w:val="single" w:sz="12" w:space="0" w:color="000000"/>
              <w:right w:val="single" w:sz="12" w:space="0" w:color="000000"/>
            </w:tcBorders>
            <w:vAlign w:val="center"/>
            <w:hideMark/>
          </w:tcPr>
          <w:p w:rsidR="005058F4" w:rsidRPr="00411CFA" w:rsidRDefault="005058F4" w:rsidP="00D42B55">
            <w:pPr>
              <w:spacing w:after="0" w:line="240" w:lineRule="auto"/>
              <w:rPr>
                <w:rFonts w:ascii="Helvetica Neue" w:eastAsia="Times New Roman" w:hAnsi="Helvetica Neue" w:cs="Times New Roman"/>
                <w:b/>
                <w:bCs/>
                <w:color w:val="000000"/>
                <w:lang w:eastAsia="fr-FR"/>
              </w:rPr>
            </w:pPr>
          </w:p>
        </w:tc>
        <w:tc>
          <w:tcPr>
            <w:tcW w:w="2140" w:type="dxa"/>
            <w:gridSpan w:val="5"/>
            <w:vMerge/>
            <w:tcBorders>
              <w:left w:val="single" w:sz="12" w:space="0" w:color="auto"/>
              <w:bottom w:val="single" w:sz="12" w:space="0" w:color="auto"/>
              <w:right w:val="single" w:sz="12" w:space="0" w:color="auto"/>
            </w:tcBorders>
          </w:tcPr>
          <w:p w:rsidR="005058F4" w:rsidRPr="00411CFA" w:rsidRDefault="005058F4" w:rsidP="00D42B55">
            <w:pPr>
              <w:spacing w:after="0" w:line="240" w:lineRule="auto"/>
              <w:rPr>
                <w:rFonts w:ascii="Helvetica Neue" w:eastAsia="Times New Roman" w:hAnsi="Helvetica Neue" w:cs="Times New Roman"/>
                <w:b/>
                <w:bCs/>
                <w:color w:val="000000"/>
                <w:lang w:eastAsia="fr-FR"/>
              </w:rPr>
            </w:pPr>
          </w:p>
        </w:tc>
        <w:tc>
          <w:tcPr>
            <w:tcW w:w="742" w:type="dxa"/>
            <w:vMerge/>
            <w:tcBorders>
              <w:top w:val="single" w:sz="12" w:space="0" w:color="auto"/>
              <w:left w:val="single" w:sz="12" w:space="0" w:color="auto"/>
              <w:bottom w:val="single" w:sz="12" w:space="0" w:color="auto"/>
              <w:right w:val="single" w:sz="12" w:space="0" w:color="auto"/>
            </w:tcBorders>
            <w:vAlign w:val="center"/>
            <w:hideMark/>
          </w:tcPr>
          <w:p w:rsidR="005058F4" w:rsidRPr="00411CFA" w:rsidRDefault="005058F4" w:rsidP="00D42B55">
            <w:pPr>
              <w:spacing w:after="0" w:line="240" w:lineRule="auto"/>
              <w:rPr>
                <w:rFonts w:ascii="Helvetica Neue" w:eastAsia="Times New Roman" w:hAnsi="Helvetica Neue" w:cs="Times New Roman"/>
                <w:b/>
                <w:bCs/>
                <w:color w:val="000000"/>
                <w:lang w:eastAsia="fr-FR"/>
              </w:rPr>
            </w:pPr>
          </w:p>
        </w:tc>
        <w:tc>
          <w:tcPr>
            <w:tcW w:w="0" w:type="auto"/>
            <w:vMerge/>
            <w:tcBorders>
              <w:top w:val="single" w:sz="12" w:space="0" w:color="auto"/>
              <w:left w:val="single" w:sz="12" w:space="0" w:color="auto"/>
              <w:bottom w:val="single" w:sz="12" w:space="0" w:color="auto"/>
              <w:right w:val="single" w:sz="12" w:space="0" w:color="auto"/>
            </w:tcBorders>
            <w:vAlign w:val="center"/>
            <w:hideMark/>
          </w:tcPr>
          <w:p w:rsidR="005058F4" w:rsidRPr="00411CFA" w:rsidRDefault="005058F4" w:rsidP="00D42B55">
            <w:pPr>
              <w:spacing w:after="0" w:line="240" w:lineRule="auto"/>
              <w:rPr>
                <w:rFonts w:ascii="Helvetica Neue" w:eastAsia="Times New Roman" w:hAnsi="Helvetica Neue" w:cs="Times New Roman"/>
                <w:b/>
                <w:bCs/>
                <w:color w:val="000000"/>
                <w:lang w:eastAsia="fr-FR"/>
              </w:rPr>
            </w:pPr>
          </w:p>
        </w:tc>
        <w:tc>
          <w:tcPr>
            <w:tcW w:w="0" w:type="auto"/>
            <w:tcBorders>
              <w:top w:val="nil"/>
              <w:left w:val="nil"/>
              <w:bottom w:val="single" w:sz="12" w:space="0" w:color="auto"/>
              <w:right w:val="single" w:sz="12" w:space="0" w:color="auto"/>
            </w:tcBorders>
            <w:shd w:val="clear" w:color="000000" w:fill="D8D8D8"/>
            <w:noWrap/>
            <w:vAlign w:val="bottom"/>
            <w:hideMark/>
          </w:tcPr>
          <w:p w:rsidR="005058F4" w:rsidRPr="00411CFA" w:rsidRDefault="005058F4" w:rsidP="00D42B55">
            <w:pPr>
              <w:spacing w:after="0" w:line="240" w:lineRule="auto"/>
              <w:jc w:val="center"/>
              <w:rPr>
                <w:rFonts w:ascii="Helvetica Neue" w:eastAsia="Times New Roman" w:hAnsi="Helvetica Neue" w:cs="Times New Roman"/>
                <w:b/>
                <w:bCs/>
                <w:color w:val="000000"/>
                <w:lang w:eastAsia="fr-FR"/>
              </w:rPr>
            </w:pPr>
            <w:r w:rsidRPr="00411CFA">
              <w:rPr>
                <w:rFonts w:ascii="Helvetica Neue" w:eastAsia="Times New Roman" w:hAnsi="Helvetica Neue" w:cs="Times New Roman"/>
                <w:b/>
                <w:bCs/>
                <w:color w:val="000000"/>
                <w:lang w:eastAsia="fr-FR"/>
              </w:rPr>
              <w:t>Etudiant</w:t>
            </w:r>
          </w:p>
        </w:tc>
      </w:tr>
      <w:tr w:rsidR="005058F4" w:rsidRPr="00411CFA" w:rsidTr="00D42B55">
        <w:trPr>
          <w:trHeight w:val="315"/>
        </w:trPr>
        <w:tc>
          <w:tcPr>
            <w:tcW w:w="4443" w:type="dxa"/>
            <w:tcBorders>
              <w:top w:val="nil"/>
              <w:left w:val="single" w:sz="12" w:space="0" w:color="auto"/>
              <w:bottom w:val="single" w:sz="4" w:space="0" w:color="auto"/>
              <w:right w:val="single" w:sz="12" w:space="0" w:color="000000"/>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Politique européenne de la concurrence</w:t>
            </w:r>
            <w:r>
              <w:rPr>
                <w:rFonts w:ascii="Helvetica Neue" w:eastAsia="Times New Roman" w:hAnsi="Helvetica Neue" w:cs="Times New Roman"/>
                <w:color w:val="000000"/>
                <w:lang w:eastAsia="fr-FR"/>
              </w:rPr>
              <w:t xml:space="preserve"> </w:t>
            </w:r>
          </w:p>
        </w:tc>
        <w:tc>
          <w:tcPr>
            <w:tcW w:w="2140" w:type="dxa"/>
            <w:gridSpan w:val="5"/>
            <w:tcBorders>
              <w:top w:val="nil"/>
              <w:left w:val="nil"/>
              <w:bottom w:val="single" w:sz="12" w:space="0" w:color="auto"/>
              <w:right w:val="single" w:sz="12" w:space="0" w:color="auto"/>
            </w:tcBorders>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Mme Cosnita</w:t>
            </w:r>
          </w:p>
        </w:tc>
        <w:tc>
          <w:tcPr>
            <w:tcW w:w="742"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3</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r>
      <w:tr w:rsidR="005058F4" w:rsidRPr="00411CFA" w:rsidTr="00D42B55">
        <w:trPr>
          <w:trHeight w:val="315"/>
        </w:trPr>
        <w:tc>
          <w:tcPr>
            <w:tcW w:w="4443" w:type="dxa"/>
            <w:tcBorders>
              <w:top w:val="single" w:sz="4" w:space="0" w:color="auto"/>
              <w:left w:val="single" w:sz="12" w:space="0" w:color="auto"/>
              <w:bottom w:val="nil"/>
              <w:right w:val="single" w:sz="12" w:space="0" w:color="000000"/>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Droit interne et européen de la concurrence</w:t>
            </w:r>
            <w:r>
              <w:rPr>
                <w:rFonts w:ascii="Helvetica Neue" w:eastAsia="Times New Roman" w:hAnsi="Helvetica Neue" w:cs="Times New Roman"/>
                <w:color w:val="000000"/>
                <w:lang w:eastAsia="fr-FR"/>
              </w:rPr>
              <w:t xml:space="preserve"> </w:t>
            </w:r>
          </w:p>
        </w:tc>
        <w:tc>
          <w:tcPr>
            <w:tcW w:w="2140" w:type="dxa"/>
            <w:gridSpan w:val="5"/>
            <w:tcBorders>
              <w:top w:val="nil"/>
              <w:left w:val="nil"/>
              <w:bottom w:val="single" w:sz="12" w:space="0" w:color="auto"/>
              <w:right w:val="single" w:sz="12" w:space="0" w:color="auto"/>
            </w:tcBorders>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M Barthe</w:t>
            </w:r>
          </w:p>
        </w:tc>
        <w:tc>
          <w:tcPr>
            <w:tcW w:w="742"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3</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w:t>
            </w:r>
            <w:r>
              <w:rPr>
                <w:rFonts w:ascii="Helvetica Neue" w:eastAsia="Times New Roman" w:hAnsi="Helvetica Neue" w:cs="Times New Roman"/>
                <w:color w:val="000000"/>
                <w:lang w:eastAsia="fr-FR"/>
              </w:rPr>
              <w:t>4</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w:t>
            </w:r>
            <w:r>
              <w:rPr>
                <w:rFonts w:ascii="Helvetica Neue" w:eastAsia="Times New Roman" w:hAnsi="Helvetica Neue" w:cs="Times New Roman"/>
                <w:color w:val="000000"/>
                <w:lang w:eastAsia="fr-FR"/>
              </w:rPr>
              <w:t>4</w:t>
            </w:r>
          </w:p>
        </w:tc>
      </w:tr>
      <w:tr w:rsidR="005058F4" w:rsidRPr="00411CFA" w:rsidTr="00D42B55">
        <w:trPr>
          <w:trHeight w:val="315"/>
        </w:trPr>
        <w:tc>
          <w:tcPr>
            <w:tcW w:w="4443" w:type="dxa"/>
            <w:tcBorders>
              <w:top w:val="single" w:sz="8" w:space="0" w:color="auto"/>
              <w:left w:val="single" w:sz="12" w:space="0" w:color="auto"/>
              <w:bottom w:val="single" w:sz="8" w:space="0" w:color="auto"/>
              <w:right w:val="single" w:sz="12" w:space="0" w:color="000000"/>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Economie du numérique et des TIC</w:t>
            </w:r>
          </w:p>
        </w:tc>
        <w:tc>
          <w:tcPr>
            <w:tcW w:w="2140" w:type="dxa"/>
            <w:gridSpan w:val="5"/>
            <w:tcBorders>
              <w:top w:val="nil"/>
              <w:left w:val="nil"/>
              <w:bottom w:val="single" w:sz="12" w:space="0" w:color="auto"/>
              <w:right w:val="single" w:sz="12" w:space="0" w:color="auto"/>
            </w:tcBorders>
          </w:tcPr>
          <w:p w:rsidR="005058F4" w:rsidRPr="00411CFA" w:rsidRDefault="00E37309" w:rsidP="00FA0D32">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sz w:val="24"/>
                <w:szCs w:val="24"/>
                <w:lang w:eastAsia="fr-FR"/>
              </w:rPr>
              <w:t>Mme Dumont</w:t>
            </w:r>
          </w:p>
        </w:tc>
        <w:tc>
          <w:tcPr>
            <w:tcW w:w="742"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3</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r>
      <w:tr w:rsidR="005058F4" w:rsidRPr="00411CFA" w:rsidTr="00D42B55">
        <w:trPr>
          <w:trHeight w:val="315"/>
        </w:trPr>
        <w:tc>
          <w:tcPr>
            <w:tcW w:w="4443" w:type="dxa"/>
            <w:tcBorders>
              <w:top w:val="single" w:sz="8" w:space="0" w:color="auto"/>
              <w:left w:val="single" w:sz="12" w:space="0" w:color="auto"/>
              <w:bottom w:val="single" w:sz="8" w:space="0" w:color="auto"/>
              <w:right w:val="single" w:sz="12" w:space="0" w:color="000000"/>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Droit international et européen des TIC</w:t>
            </w:r>
            <w:r>
              <w:rPr>
                <w:rFonts w:ascii="Helvetica Neue" w:eastAsia="Times New Roman" w:hAnsi="Helvetica Neue" w:cs="Times New Roman"/>
                <w:color w:val="000000"/>
                <w:lang w:eastAsia="fr-FR"/>
              </w:rPr>
              <w:t xml:space="preserve"> </w:t>
            </w:r>
          </w:p>
        </w:tc>
        <w:tc>
          <w:tcPr>
            <w:tcW w:w="2140" w:type="dxa"/>
            <w:gridSpan w:val="5"/>
            <w:tcBorders>
              <w:top w:val="nil"/>
              <w:left w:val="nil"/>
              <w:bottom w:val="single" w:sz="12" w:space="0" w:color="auto"/>
              <w:right w:val="single" w:sz="12" w:space="0" w:color="auto"/>
            </w:tcBorders>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Mme Nicolas</w:t>
            </w:r>
          </w:p>
        </w:tc>
        <w:tc>
          <w:tcPr>
            <w:tcW w:w="742"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3</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r>
      <w:tr w:rsidR="005058F4" w:rsidRPr="00411CFA" w:rsidTr="00D42B55">
        <w:trPr>
          <w:trHeight w:val="630"/>
        </w:trPr>
        <w:tc>
          <w:tcPr>
            <w:tcW w:w="0" w:type="auto"/>
            <w:tcBorders>
              <w:top w:val="single" w:sz="12" w:space="0" w:color="auto"/>
              <w:left w:val="single" w:sz="12" w:space="0" w:color="auto"/>
              <w:right w:val="single" w:sz="12" w:space="0" w:color="000000"/>
            </w:tcBorders>
            <w:shd w:val="clear" w:color="000000" w:fill="BFBFBF"/>
          </w:tcPr>
          <w:p w:rsidR="005058F4" w:rsidRPr="00411CFA" w:rsidRDefault="005058F4" w:rsidP="00D42B55">
            <w:pPr>
              <w:spacing w:after="0" w:line="240" w:lineRule="auto"/>
              <w:rPr>
                <w:rFonts w:ascii="Helvetica Neue" w:eastAsia="Times New Roman" w:hAnsi="Helvetica Neue" w:cs="Times New Roman"/>
                <w:b/>
                <w:bCs/>
                <w:color w:val="000000"/>
                <w:lang w:eastAsia="fr-FR"/>
              </w:rPr>
            </w:pPr>
            <w:r w:rsidRPr="00411CFA">
              <w:rPr>
                <w:rFonts w:ascii="Helvetica Neue" w:eastAsia="Times New Roman" w:hAnsi="Helvetica Neue" w:cs="Times New Roman"/>
                <w:b/>
                <w:bCs/>
                <w:color w:val="000000"/>
                <w:lang w:eastAsia="fr-FR"/>
              </w:rPr>
              <w:t>Optionnels Economie et Droit: 1 binôme parmi 3</w:t>
            </w:r>
          </w:p>
        </w:tc>
        <w:tc>
          <w:tcPr>
            <w:tcW w:w="0" w:type="auto"/>
            <w:gridSpan w:val="8"/>
            <w:tcBorders>
              <w:top w:val="single" w:sz="12" w:space="0" w:color="auto"/>
              <w:left w:val="single" w:sz="12" w:space="0" w:color="auto"/>
              <w:bottom w:val="single" w:sz="12" w:space="0" w:color="000000"/>
              <w:right w:val="single" w:sz="12" w:space="0" w:color="000000"/>
            </w:tcBorders>
            <w:shd w:val="clear" w:color="000000" w:fill="BFBFBF"/>
            <w:noWrap/>
            <w:vAlign w:val="center"/>
            <w:hideMark/>
          </w:tcPr>
          <w:p w:rsidR="005058F4" w:rsidRPr="00411CFA" w:rsidRDefault="005058F4" w:rsidP="00D42B55">
            <w:pPr>
              <w:spacing w:after="0" w:line="240" w:lineRule="auto"/>
              <w:rPr>
                <w:rFonts w:ascii="Helvetica Neue" w:eastAsia="Times New Roman" w:hAnsi="Helvetica Neue" w:cs="Times New Roman"/>
                <w:b/>
                <w:bCs/>
                <w:color w:val="000000"/>
                <w:lang w:eastAsia="fr-FR"/>
              </w:rPr>
            </w:pPr>
          </w:p>
        </w:tc>
      </w:tr>
      <w:tr w:rsidR="005058F4" w:rsidRPr="00411CFA" w:rsidTr="00D42B55">
        <w:trPr>
          <w:trHeight w:val="315"/>
        </w:trPr>
        <w:tc>
          <w:tcPr>
            <w:tcW w:w="4443" w:type="dxa"/>
            <w:tcBorders>
              <w:top w:val="single" w:sz="12" w:space="0" w:color="auto"/>
              <w:left w:val="single" w:sz="12" w:space="0" w:color="auto"/>
              <w:bottom w:val="nil"/>
              <w:right w:val="single" w:sz="12" w:space="0" w:color="auto"/>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Economie du droit de la concurrence</w:t>
            </w:r>
            <w:r>
              <w:rPr>
                <w:rFonts w:ascii="Helvetica Neue" w:eastAsia="Times New Roman" w:hAnsi="Helvetica Neue" w:cs="Times New Roman"/>
                <w:color w:val="000000"/>
                <w:lang w:eastAsia="fr-FR"/>
              </w:rPr>
              <w:t xml:space="preserve"> </w:t>
            </w:r>
          </w:p>
        </w:tc>
        <w:tc>
          <w:tcPr>
            <w:tcW w:w="2140" w:type="dxa"/>
            <w:gridSpan w:val="5"/>
            <w:tcBorders>
              <w:top w:val="single" w:sz="12" w:space="0" w:color="auto"/>
              <w:left w:val="single" w:sz="12" w:space="0" w:color="auto"/>
              <w:bottom w:val="single" w:sz="12" w:space="0" w:color="auto"/>
              <w:right w:val="single" w:sz="12" w:space="0" w:color="auto"/>
            </w:tcBorders>
          </w:tcPr>
          <w:p w:rsidR="005058F4" w:rsidRPr="00411CFA" w:rsidRDefault="005058F4" w:rsidP="00D42B55">
            <w:pPr>
              <w:tabs>
                <w:tab w:val="left" w:pos="254"/>
              </w:tabs>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M Souam</w:t>
            </w:r>
          </w:p>
        </w:tc>
        <w:tc>
          <w:tcPr>
            <w:tcW w:w="742" w:type="dxa"/>
            <w:tcBorders>
              <w:top w:val="nil"/>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3</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r>
      <w:tr w:rsidR="005058F4" w:rsidRPr="00411CFA" w:rsidTr="00D42B55">
        <w:trPr>
          <w:trHeight w:val="315"/>
        </w:trPr>
        <w:tc>
          <w:tcPr>
            <w:tcW w:w="4443" w:type="dxa"/>
            <w:tcBorders>
              <w:top w:val="nil"/>
              <w:left w:val="single" w:sz="12" w:space="0" w:color="auto"/>
              <w:bottom w:val="single" w:sz="12" w:space="0" w:color="auto"/>
              <w:right w:val="single" w:sz="12" w:space="0" w:color="auto"/>
            </w:tcBorders>
            <w:shd w:val="clear" w:color="auto" w:fill="auto"/>
            <w:noWrap/>
            <w:vAlign w:val="bottom"/>
            <w:hideMark/>
          </w:tcPr>
          <w:p w:rsidR="005058F4" w:rsidRDefault="005058F4" w:rsidP="00D42B55">
            <w:pPr>
              <w:spacing w:after="0" w:line="240" w:lineRule="auto"/>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 xml:space="preserve">Droit </w:t>
            </w:r>
            <w:r>
              <w:rPr>
                <w:rFonts w:ascii="Helvetica Neue" w:eastAsia="Times New Roman" w:hAnsi="Helvetica Neue" w:cs="Times New Roman"/>
                <w:color w:val="000000"/>
                <w:lang w:eastAsia="fr-FR"/>
              </w:rPr>
              <w:t xml:space="preserve">européen </w:t>
            </w:r>
            <w:r w:rsidRPr="00411CFA">
              <w:rPr>
                <w:rFonts w:ascii="Helvetica Neue" w:eastAsia="Times New Roman" w:hAnsi="Helvetica Neue" w:cs="Times New Roman"/>
                <w:color w:val="000000"/>
                <w:lang w:eastAsia="fr-FR"/>
              </w:rPr>
              <w:t>des con</w:t>
            </w:r>
            <w:r>
              <w:rPr>
                <w:rFonts w:ascii="Helvetica Neue" w:eastAsia="Times New Roman" w:hAnsi="Helvetica Neue" w:cs="Times New Roman"/>
                <w:color w:val="000000"/>
                <w:lang w:eastAsia="fr-FR"/>
              </w:rPr>
              <w:t xml:space="preserve">trats et de la </w:t>
            </w:r>
          </w:p>
          <w:p w:rsidR="005058F4" w:rsidRPr="00411CFA" w:rsidRDefault="005058F4" w:rsidP="00D42B55">
            <w:pPr>
              <w:spacing w:after="0" w:line="240" w:lineRule="auto"/>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consomma</w:t>
            </w:r>
            <w:r w:rsidRPr="00411CFA">
              <w:rPr>
                <w:rFonts w:ascii="Helvetica Neue" w:eastAsia="Times New Roman" w:hAnsi="Helvetica Neue" w:cs="Times New Roman"/>
                <w:color w:val="000000"/>
                <w:lang w:eastAsia="fr-FR"/>
              </w:rPr>
              <w:t>tion</w:t>
            </w:r>
            <w:r>
              <w:rPr>
                <w:rFonts w:ascii="Helvetica Neue" w:eastAsia="Times New Roman" w:hAnsi="Helvetica Neue" w:cs="Times New Roman"/>
                <w:color w:val="000000"/>
                <w:lang w:eastAsia="fr-FR"/>
              </w:rPr>
              <w:t xml:space="preserve"> </w:t>
            </w:r>
          </w:p>
        </w:tc>
        <w:tc>
          <w:tcPr>
            <w:tcW w:w="2140" w:type="dxa"/>
            <w:gridSpan w:val="5"/>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5058F4" w:rsidRPr="00411CFA" w:rsidRDefault="00407892" w:rsidP="00A640AD">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Mme Leblond</w:t>
            </w:r>
            <w:r w:rsidR="005058F4" w:rsidRPr="00411CFA">
              <w:rPr>
                <w:rFonts w:ascii="Helvetica Neue" w:eastAsia="Times New Roman" w:hAnsi="Helvetica Neue" w:cs="Times New Roman"/>
                <w:color w:val="000000"/>
                <w:lang w:eastAsia="fr-FR"/>
              </w:rPr>
              <w:t> </w:t>
            </w:r>
          </w:p>
        </w:tc>
        <w:tc>
          <w:tcPr>
            <w:tcW w:w="742" w:type="dxa"/>
            <w:tcBorders>
              <w:top w:val="nil"/>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3</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24</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24</w:t>
            </w:r>
          </w:p>
        </w:tc>
      </w:tr>
      <w:tr w:rsidR="005058F4" w:rsidRPr="00411CFA" w:rsidTr="00D42B55">
        <w:trPr>
          <w:trHeight w:val="315"/>
        </w:trPr>
        <w:tc>
          <w:tcPr>
            <w:tcW w:w="4443" w:type="dxa"/>
            <w:tcBorders>
              <w:top w:val="single" w:sz="12" w:space="0" w:color="auto"/>
              <w:left w:val="single" w:sz="12" w:space="0" w:color="auto"/>
              <w:bottom w:val="nil"/>
              <w:right w:val="single" w:sz="12" w:space="0" w:color="auto"/>
            </w:tcBorders>
            <w:shd w:val="clear" w:color="auto" w:fill="auto"/>
            <w:noWrap/>
            <w:vAlign w:val="bottom"/>
            <w:hideMark/>
          </w:tcPr>
          <w:p w:rsidR="005058F4" w:rsidRPr="00411CFA" w:rsidRDefault="005058F4" w:rsidP="00F37480">
            <w:pPr>
              <w:spacing w:after="0" w:line="240" w:lineRule="auto"/>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Economie des partenariats public/privé</w:t>
            </w:r>
            <w:r>
              <w:rPr>
                <w:rFonts w:ascii="Helvetica Neue" w:eastAsia="Times New Roman" w:hAnsi="Helvetica Neue" w:cs="Times New Roman"/>
                <w:color w:val="000000"/>
                <w:lang w:eastAsia="fr-FR"/>
              </w:rPr>
              <w:t xml:space="preserve"> </w:t>
            </w:r>
          </w:p>
        </w:tc>
        <w:tc>
          <w:tcPr>
            <w:tcW w:w="2140" w:type="dxa"/>
            <w:gridSpan w:val="5"/>
            <w:tcBorders>
              <w:top w:val="single" w:sz="12" w:space="0" w:color="auto"/>
              <w:left w:val="single" w:sz="12" w:space="0" w:color="auto"/>
              <w:bottom w:val="single" w:sz="12" w:space="0" w:color="auto"/>
              <w:right w:val="single" w:sz="12" w:space="0" w:color="auto"/>
            </w:tcBorders>
          </w:tcPr>
          <w:p w:rsidR="005058F4" w:rsidRPr="00411CFA" w:rsidRDefault="005058F4" w:rsidP="00A640AD">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 xml:space="preserve">M </w:t>
            </w:r>
            <w:r w:rsidR="00A640AD">
              <w:rPr>
                <w:rFonts w:ascii="Helvetica Neue" w:eastAsia="Times New Roman" w:hAnsi="Helvetica Neue" w:cs="Times New Roman"/>
                <w:color w:val="000000"/>
                <w:lang w:eastAsia="fr-FR"/>
              </w:rPr>
              <w:t>Melcarne</w:t>
            </w:r>
          </w:p>
        </w:tc>
        <w:tc>
          <w:tcPr>
            <w:tcW w:w="742" w:type="dxa"/>
            <w:tcBorders>
              <w:top w:val="nil"/>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3</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r>
      <w:tr w:rsidR="005058F4" w:rsidRPr="00411CFA" w:rsidTr="00D42B55">
        <w:trPr>
          <w:trHeight w:val="315"/>
        </w:trPr>
        <w:tc>
          <w:tcPr>
            <w:tcW w:w="4443" w:type="dxa"/>
            <w:tcBorders>
              <w:top w:val="nil"/>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 xml:space="preserve">Droit </w:t>
            </w:r>
            <w:r>
              <w:rPr>
                <w:rFonts w:ascii="Helvetica Neue" w:eastAsia="Times New Roman" w:hAnsi="Helvetica Neue" w:cs="Times New Roman"/>
                <w:color w:val="000000"/>
                <w:lang w:eastAsia="fr-FR"/>
              </w:rPr>
              <w:t xml:space="preserve">et fiscalité </w:t>
            </w:r>
            <w:r w:rsidRPr="00411CFA">
              <w:rPr>
                <w:rFonts w:ascii="Helvetica Neue" w:eastAsia="Times New Roman" w:hAnsi="Helvetica Neue" w:cs="Times New Roman"/>
                <w:color w:val="000000"/>
                <w:lang w:eastAsia="fr-FR"/>
              </w:rPr>
              <w:t>des contrats de partenariat public/privé</w:t>
            </w:r>
            <w:r>
              <w:rPr>
                <w:rFonts w:ascii="Helvetica Neue" w:eastAsia="Times New Roman" w:hAnsi="Helvetica Neue" w:cs="Times New Roman"/>
                <w:color w:val="000000"/>
                <w:lang w:eastAsia="fr-FR"/>
              </w:rPr>
              <w:t xml:space="preserve"> </w:t>
            </w:r>
          </w:p>
        </w:tc>
        <w:tc>
          <w:tcPr>
            <w:tcW w:w="2140" w:type="dxa"/>
            <w:gridSpan w:val="5"/>
            <w:tcBorders>
              <w:top w:val="single" w:sz="12" w:space="0" w:color="auto"/>
              <w:left w:val="single" w:sz="12" w:space="0" w:color="auto"/>
              <w:bottom w:val="single" w:sz="12" w:space="0" w:color="auto"/>
              <w:right w:val="single" w:sz="12" w:space="0" w:color="auto"/>
            </w:tcBorders>
          </w:tcPr>
          <w:p w:rsidR="001A10E6" w:rsidRDefault="001A10E6" w:rsidP="00D42B55">
            <w:pPr>
              <w:spacing w:after="0" w:line="240" w:lineRule="auto"/>
              <w:jc w:val="center"/>
              <w:rPr>
                <w:rFonts w:ascii="Helvetica Neue" w:eastAsia="Times New Roman" w:hAnsi="Helvetica Neue" w:cs="Times New Roman"/>
                <w:color w:val="000000"/>
                <w:lang w:eastAsia="fr-FR"/>
              </w:rPr>
            </w:pPr>
          </w:p>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Mme Folliot-Lallot</w:t>
            </w:r>
          </w:p>
        </w:tc>
        <w:tc>
          <w:tcPr>
            <w:tcW w:w="742" w:type="dxa"/>
            <w:tcBorders>
              <w:top w:val="nil"/>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1A10E6">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3</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20</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20</w:t>
            </w:r>
          </w:p>
        </w:tc>
      </w:tr>
      <w:tr w:rsidR="005058F4" w:rsidRPr="00411CFA" w:rsidTr="00D42B55">
        <w:trPr>
          <w:trHeight w:val="315"/>
        </w:trPr>
        <w:tc>
          <w:tcPr>
            <w:tcW w:w="4443" w:type="dxa"/>
            <w:tcBorders>
              <w:top w:val="single" w:sz="12" w:space="0" w:color="auto"/>
              <w:left w:val="single" w:sz="12" w:space="0" w:color="auto"/>
              <w:bottom w:val="nil"/>
              <w:right w:val="single" w:sz="12" w:space="0" w:color="000000"/>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Economie du droit de la défaillance</w:t>
            </w:r>
          </w:p>
        </w:tc>
        <w:tc>
          <w:tcPr>
            <w:tcW w:w="2140" w:type="dxa"/>
            <w:gridSpan w:val="5"/>
            <w:tcBorders>
              <w:top w:val="single" w:sz="12" w:space="0" w:color="auto"/>
              <w:left w:val="nil"/>
              <w:bottom w:val="single" w:sz="12" w:space="0" w:color="auto"/>
              <w:right w:val="single" w:sz="12" w:space="0" w:color="auto"/>
            </w:tcBorders>
          </w:tcPr>
          <w:p w:rsidR="005058F4" w:rsidRPr="00411CFA" w:rsidRDefault="001C4DFA" w:rsidP="00D42B55">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Nd</w:t>
            </w:r>
          </w:p>
        </w:tc>
        <w:tc>
          <w:tcPr>
            <w:tcW w:w="742" w:type="dxa"/>
            <w:tcBorders>
              <w:top w:val="nil"/>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3</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r>
      <w:tr w:rsidR="005058F4" w:rsidRPr="00411CFA" w:rsidTr="00D42B55">
        <w:trPr>
          <w:trHeight w:val="315"/>
        </w:trPr>
        <w:tc>
          <w:tcPr>
            <w:tcW w:w="4443" w:type="dxa"/>
            <w:tcBorders>
              <w:top w:val="nil"/>
              <w:left w:val="single" w:sz="12" w:space="0" w:color="auto"/>
              <w:bottom w:val="single" w:sz="8" w:space="0" w:color="auto"/>
              <w:right w:val="single" w:sz="12" w:space="0" w:color="000000"/>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Procédures collectives et droit des sûretés</w:t>
            </w:r>
            <w:r>
              <w:rPr>
                <w:rFonts w:ascii="Helvetica Neue" w:eastAsia="Times New Roman" w:hAnsi="Helvetica Neue" w:cs="Times New Roman"/>
                <w:color w:val="000000"/>
                <w:lang w:eastAsia="fr-FR"/>
              </w:rPr>
              <w:t xml:space="preserve"> </w:t>
            </w:r>
          </w:p>
        </w:tc>
        <w:tc>
          <w:tcPr>
            <w:tcW w:w="2140" w:type="dxa"/>
            <w:gridSpan w:val="5"/>
            <w:tcBorders>
              <w:top w:val="single" w:sz="12" w:space="0" w:color="auto"/>
              <w:left w:val="nil"/>
              <w:bottom w:val="single" w:sz="12" w:space="0" w:color="auto"/>
              <w:right w:val="single" w:sz="12" w:space="0" w:color="auto"/>
            </w:tcBorders>
          </w:tcPr>
          <w:p w:rsidR="005058F4" w:rsidRPr="00411CFA" w:rsidRDefault="00B016EA" w:rsidP="00D42B55">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N</w:t>
            </w:r>
            <w:r w:rsidR="00303E9E">
              <w:rPr>
                <w:rFonts w:ascii="Helvetica Neue" w:eastAsia="Times New Roman" w:hAnsi="Helvetica Neue" w:cs="Times New Roman"/>
                <w:color w:val="000000"/>
                <w:lang w:eastAsia="fr-FR"/>
              </w:rPr>
              <w:t>d</w:t>
            </w:r>
          </w:p>
        </w:tc>
        <w:tc>
          <w:tcPr>
            <w:tcW w:w="742" w:type="dxa"/>
            <w:tcBorders>
              <w:top w:val="nil"/>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3</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20</w:t>
            </w:r>
          </w:p>
        </w:tc>
      </w:tr>
      <w:tr w:rsidR="005058F4" w:rsidRPr="00411CFA" w:rsidTr="00D42B55">
        <w:trPr>
          <w:trHeight w:val="630"/>
        </w:trPr>
        <w:tc>
          <w:tcPr>
            <w:tcW w:w="4443" w:type="dxa"/>
            <w:tcBorders>
              <w:top w:val="single" w:sz="8" w:space="0" w:color="auto"/>
              <w:left w:val="single" w:sz="8" w:space="0" w:color="auto"/>
              <w:bottom w:val="single" w:sz="8" w:space="0" w:color="000000"/>
              <w:right w:val="single" w:sz="12" w:space="0" w:color="auto"/>
            </w:tcBorders>
            <w:shd w:val="clear" w:color="000000" w:fill="808080"/>
            <w:noWrap/>
            <w:vAlign w:val="center"/>
            <w:hideMark/>
          </w:tcPr>
          <w:p w:rsidR="005058F4" w:rsidRPr="00411CFA" w:rsidRDefault="005058F4" w:rsidP="00D42B55">
            <w:pPr>
              <w:spacing w:after="0" w:line="240" w:lineRule="auto"/>
              <w:rPr>
                <w:rFonts w:ascii="Helvetica Neue" w:eastAsia="Times New Roman" w:hAnsi="Helvetica Neue" w:cs="Times New Roman"/>
                <w:b/>
                <w:bCs/>
                <w:color w:val="000000"/>
                <w:lang w:eastAsia="fr-FR"/>
              </w:rPr>
            </w:pPr>
            <w:r>
              <w:rPr>
                <w:rFonts w:ascii="Helvetica Neue" w:eastAsia="Times New Roman" w:hAnsi="Helvetica Neue" w:cs="Times New Roman"/>
                <w:b/>
                <w:bCs/>
                <w:color w:val="000000"/>
                <w:lang w:eastAsia="fr-FR"/>
              </w:rPr>
              <w:t>Travaux encadrés</w:t>
            </w:r>
          </w:p>
        </w:tc>
        <w:tc>
          <w:tcPr>
            <w:tcW w:w="4716" w:type="dxa"/>
            <w:gridSpan w:val="8"/>
            <w:tcBorders>
              <w:top w:val="single" w:sz="12" w:space="0" w:color="auto"/>
              <w:left w:val="single" w:sz="12" w:space="0" w:color="auto"/>
              <w:right w:val="single" w:sz="8" w:space="0" w:color="auto"/>
            </w:tcBorders>
            <w:shd w:val="clear" w:color="000000" w:fill="808080"/>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 </w:t>
            </w:r>
          </w:p>
        </w:tc>
      </w:tr>
      <w:tr w:rsidR="005058F4" w:rsidRPr="00411CFA" w:rsidTr="00D42B55">
        <w:trPr>
          <w:trHeight w:val="315"/>
        </w:trPr>
        <w:tc>
          <w:tcPr>
            <w:tcW w:w="4443" w:type="dxa"/>
            <w:tcBorders>
              <w:top w:val="single" w:sz="8" w:space="0" w:color="000000"/>
              <w:left w:val="single" w:sz="8" w:space="0" w:color="auto"/>
              <w:bottom w:val="single" w:sz="8" w:space="0" w:color="auto"/>
              <w:right w:val="single" w:sz="12" w:space="0" w:color="auto"/>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 xml:space="preserve">Principes de l'évaluation économique du droit </w:t>
            </w:r>
          </w:p>
        </w:tc>
        <w:tc>
          <w:tcPr>
            <w:tcW w:w="2140" w:type="dxa"/>
            <w:gridSpan w:val="5"/>
            <w:tcBorders>
              <w:top w:val="single" w:sz="12" w:space="0" w:color="auto"/>
              <w:left w:val="nil"/>
              <w:bottom w:val="single" w:sz="12" w:space="0" w:color="auto"/>
              <w:right w:val="single" w:sz="12" w:space="0" w:color="auto"/>
            </w:tcBorders>
          </w:tcPr>
          <w:p w:rsidR="005058F4" w:rsidRDefault="005058F4" w:rsidP="003301E0">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 xml:space="preserve">M </w:t>
            </w:r>
            <w:r w:rsidR="003301E0">
              <w:rPr>
                <w:rFonts w:ascii="Helvetica Neue" w:eastAsia="Times New Roman" w:hAnsi="Helvetica Neue" w:cs="Times New Roman"/>
                <w:color w:val="000000"/>
                <w:lang w:eastAsia="fr-FR"/>
              </w:rPr>
              <w:t>Zouikri</w:t>
            </w:r>
          </w:p>
        </w:tc>
        <w:tc>
          <w:tcPr>
            <w:tcW w:w="742" w:type="dxa"/>
            <w:tcBorders>
              <w:top w:val="nil"/>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3</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20</w:t>
            </w:r>
            <w:r w:rsidRPr="00411CFA">
              <w:rPr>
                <w:rFonts w:ascii="Helvetica Neue" w:eastAsia="Times New Roman" w:hAnsi="Helvetica Neue" w:cs="Times New Roman"/>
                <w:color w:val="000000"/>
                <w:lang w:eastAsia="fr-FR"/>
              </w:rPr>
              <w:t> </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20</w:t>
            </w:r>
            <w:r w:rsidRPr="00411CFA">
              <w:rPr>
                <w:rFonts w:ascii="Helvetica Neue" w:eastAsia="Times New Roman" w:hAnsi="Helvetica Neue" w:cs="Times New Roman"/>
                <w:color w:val="000000"/>
                <w:lang w:eastAsia="fr-FR"/>
              </w:rPr>
              <w:t> </w:t>
            </w:r>
          </w:p>
        </w:tc>
      </w:tr>
      <w:tr w:rsidR="005058F4" w:rsidRPr="00411CFA" w:rsidTr="00D42B55">
        <w:trPr>
          <w:trHeight w:val="315"/>
        </w:trPr>
        <w:tc>
          <w:tcPr>
            <w:tcW w:w="4443" w:type="dxa"/>
            <w:tcBorders>
              <w:top w:val="single" w:sz="8" w:space="0" w:color="auto"/>
              <w:left w:val="single" w:sz="8" w:space="0" w:color="auto"/>
              <w:bottom w:val="single" w:sz="8" w:space="0" w:color="auto"/>
              <w:right w:val="single" w:sz="12" w:space="0" w:color="auto"/>
            </w:tcBorders>
            <w:shd w:val="clear" w:color="auto" w:fill="auto"/>
            <w:noWrap/>
            <w:vAlign w:val="bottom"/>
            <w:hideMark/>
          </w:tcPr>
          <w:p w:rsidR="005058F4" w:rsidRPr="00411CFA" w:rsidRDefault="005058F4" w:rsidP="00233FDF">
            <w:pPr>
              <w:spacing w:after="0" w:line="240" w:lineRule="auto"/>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Mémoire</w:t>
            </w:r>
            <w:r>
              <w:rPr>
                <w:rFonts w:ascii="Helvetica Neue" w:eastAsia="Times New Roman" w:hAnsi="Helvetica Neue" w:cs="Times New Roman"/>
                <w:color w:val="000000"/>
                <w:lang w:eastAsia="fr-FR"/>
              </w:rPr>
              <w:t xml:space="preserve"> </w:t>
            </w:r>
            <w:r w:rsidR="00233FDF">
              <w:rPr>
                <w:rFonts w:ascii="Helvetica Neue" w:eastAsia="Times New Roman" w:hAnsi="Helvetica Neue" w:cs="Times New Roman"/>
                <w:color w:val="000000"/>
                <w:vertAlign w:val="superscript"/>
                <w:lang w:eastAsia="fr-FR"/>
              </w:rPr>
              <w:t>c</w:t>
            </w:r>
            <w:r>
              <w:rPr>
                <w:rFonts w:ascii="Helvetica Neue" w:eastAsia="Times New Roman" w:hAnsi="Helvetica Neue" w:cs="Times New Roman"/>
                <w:color w:val="000000"/>
                <w:vertAlign w:val="superscript"/>
                <w:lang w:eastAsia="fr-FR"/>
              </w:rPr>
              <w:t xml:space="preserve"> </w:t>
            </w:r>
            <w:r>
              <w:rPr>
                <w:rFonts w:ascii="Helvetica Neue" w:eastAsia="Times New Roman" w:hAnsi="Helvetica Neue" w:cs="Times New Roman"/>
                <w:color w:val="000000"/>
                <w:lang w:eastAsia="fr-FR"/>
              </w:rPr>
              <w:t xml:space="preserve"> </w:t>
            </w:r>
            <w:r w:rsidRPr="00411CFA">
              <w:rPr>
                <w:rFonts w:ascii="Helvetica Neue" w:eastAsia="Times New Roman" w:hAnsi="Helvetica Neue" w:cs="Times New Roman"/>
                <w:color w:val="000000"/>
                <w:lang w:eastAsia="fr-FR"/>
              </w:rPr>
              <w:t>Ou</w:t>
            </w:r>
            <w:r>
              <w:rPr>
                <w:rFonts w:ascii="Helvetica Neue" w:eastAsia="Times New Roman" w:hAnsi="Helvetica Neue" w:cs="Times New Roman"/>
                <w:color w:val="000000"/>
                <w:lang w:eastAsia="fr-FR"/>
              </w:rPr>
              <w:t xml:space="preserve">  Stage (3 mois minimum)</w:t>
            </w:r>
          </w:p>
        </w:tc>
        <w:tc>
          <w:tcPr>
            <w:tcW w:w="2140" w:type="dxa"/>
            <w:gridSpan w:val="5"/>
            <w:tcBorders>
              <w:top w:val="single" w:sz="12" w:space="0" w:color="auto"/>
              <w:left w:val="nil"/>
              <w:bottom w:val="single" w:sz="12" w:space="0" w:color="auto"/>
              <w:right w:val="single" w:sz="12" w:space="0" w:color="auto"/>
            </w:tcBorders>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Pr>
                <w:rFonts w:ascii="Helvetica Neue" w:eastAsia="Times New Roman" w:hAnsi="Helvetica Neue" w:cs="Times New Roman"/>
                <w:color w:val="000000"/>
                <w:lang w:eastAsia="fr-FR"/>
              </w:rPr>
              <w:t>Enseignants du M2</w:t>
            </w:r>
          </w:p>
        </w:tc>
        <w:tc>
          <w:tcPr>
            <w:tcW w:w="742" w:type="dxa"/>
            <w:tcBorders>
              <w:top w:val="nil"/>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9</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p>
        </w:tc>
      </w:tr>
      <w:tr w:rsidR="005058F4" w:rsidRPr="00411CFA" w:rsidTr="00D42B55">
        <w:trPr>
          <w:trHeight w:val="330"/>
        </w:trPr>
        <w:tc>
          <w:tcPr>
            <w:tcW w:w="6583" w:type="dxa"/>
            <w:gridSpan w:val="6"/>
            <w:tcBorders>
              <w:top w:val="nil"/>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r w:rsidRPr="00411CFA">
              <w:rPr>
                <w:rFonts w:ascii="Helvetica Neue" w:eastAsia="Times New Roman" w:hAnsi="Helvetica Neue" w:cs="Times New Roman"/>
                <w:b/>
                <w:bCs/>
                <w:color w:val="000000"/>
                <w:lang w:eastAsia="fr-FR"/>
              </w:rPr>
              <w:t>TOTAL</w:t>
            </w:r>
            <w:r w:rsidRPr="00411CFA">
              <w:rPr>
                <w:rFonts w:ascii="Helvetica Neue" w:eastAsia="Times New Roman" w:hAnsi="Helvetica Neue" w:cs="Times New Roman"/>
                <w:color w:val="000000"/>
                <w:lang w:eastAsia="fr-FR"/>
              </w:rPr>
              <w:t> </w:t>
            </w:r>
          </w:p>
        </w:tc>
        <w:tc>
          <w:tcPr>
            <w:tcW w:w="742" w:type="dxa"/>
            <w:tcBorders>
              <w:top w:val="nil"/>
              <w:left w:val="single" w:sz="12" w:space="0" w:color="auto"/>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30</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1</w:t>
            </w:r>
            <w:r>
              <w:rPr>
                <w:rFonts w:ascii="Helvetica Neue" w:eastAsia="Times New Roman" w:hAnsi="Helvetica Neue" w:cs="Times New Roman"/>
                <w:color w:val="000000"/>
                <w:lang w:eastAsia="fr-FR"/>
              </w:rPr>
              <w:t>44/148</w:t>
            </w:r>
          </w:p>
        </w:tc>
        <w:tc>
          <w:tcPr>
            <w:tcW w:w="0" w:type="auto"/>
            <w:tcBorders>
              <w:top w:val="nil"/>
              <w:left w:val="nil"/>
              <w:bottom w:val="single" w:sz="12" w:space="0" w:color="auto"/>
              <w:right w:val="single" w:sz="12" w:space="0" w:color="auto"/>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1</w:t>
            </w:r>
            <w:r>
              <w:rPr>
                <w:rFonts w:ascii="Helvetica Neue" w:eastAsia="Times New Roman" w:hAnsi="Helvetica Neue" w:cs="Times New Roman"/>
                <w:color w:val="000000"/>
                <w:lang w:eastAsia="fr-FR"/>
              </w:rPr>
              <w:t>44/148</w:t>
            </w:r>
          </w:p>
        </w:tc>
      </w:tr>
      <w:tr w:rsidR="005058F4" w:rsidRPr="00411CFA" w:rsidTr="00D42B55">
        <w:trPr>
          <w:trHeight w:val="300"/>
        </w:trPr>
        <w:tc>
          <w:tcPr>
            <w:tcW w:w="0" w:type="auto"/>
            <w:tcBorders>
              <w:top w:val="nil"/>
              <w:left w:val="nil"/>
              <w:bottom w:val="nil"/>
              <w:right w:val="nil"/>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p>
        </w:tc>
        <w:tc>
          <w:tcPr>
            <w:tcW w:w="0" w:type="auto"/>
            <w:tcBorders>
              <w:top w:val="nil"/>
              <w:left w:val="nil"/>
              <w:bottom w:val="nil"/>
              <w:right w:val="nil"/>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p>
        </w:tc>
        <w:tc>
          <w:tcPr>
            <w:tcW w:w="201" w:type="dxa"/>
            <w:tcBorders>
              <w:top w:val="nil"/>
              <w:left w:val="nil"/>
              <w:bottom w:val="nil"/>
              <w:right w:val="nil"/>
            </w:tcBorders>
            <w:shd w:val="clear" w:color="auto" w:fill="auto"/>
            <w:noWrap/>
            <w:vAlign w:val="bottom"/>
            <w:hideMark/>
          </w:tcPr>
          <w:p w:rsidR="005058F4" w:rsidRPr="00411CFA" w:rsidRDefault="005058F4" w:rsidP="00D42B55">
            <w:pPr>
              <w:spacing w:after="0" w:line="240" w:lineRule="auto"/>
              <w:rPr>
                <w:rFonts w:ascii="Helvetica Neue" w:eastAsia="Times New Roman" w:hAnsi="Helvetica Neue" w:cs="Times New Roman"/>
                <w:color w:val="000000"/>
                <w:lang w:eastAsia="fr-FR"/>
              </w:rPr>
            </w:pPr>
            <w:r w:rsidRPr="00411CFA">
              <w:rPr>
                <w:rFonts w:ascii="Helvetica Neue" w:eastAsia="Times New Roman" w:hAnsi="Helvetica Neue" w:cs="Times New Roman"/>
                <w:color w:val="000000"/>
                <w:lang w:eastAsia="fr-FR"/>
              </w:rPr>
              <w:t> </w:t>
            </w:r>
          </w:p>
        </w:tc>
        <w:tc>
          <w:tcPr>
            <w:tcW w:w="1793" w:type="dxa"/>
            <w:gridSpan w:val="3"/>
            <w:tcBorders>
              <w:top w:val="nil"/>
              <w:left w:val="nil"/>
              <w:bottom w:val="nil"/>
              <w:right w:val="nil"/>
            </w:tcBorders>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p>
        </w:tc>
        <w:tc>
          <w:tcPr>
            <w:tcW w:w="742" w:type="dxa"/>
            <w:tcBorders>
              <w:top w:val="nil"/>
              <w:left w:val="nil"/>
              <w:bottom w:val="nil"/>
              <w:right w:val="nil"/>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p>
        </w:tc>
        <w:tc>
          <w:tcPr>
            <w:tcW w:w="0" w:type="auto"/>
            <w:tcBorders>
              <w:top w:val="nil"/>
              <w:left w:val="nil"/>
              <w:bottom w:val="nil"/>
              <w:right w:val="nil"/>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p>
        </w:tc>
        <w:tc>
          <w:tcPr>
            <w:tcW w:w="0" w:type="auto"/>
            <w:tcBorders>
              <w:top w:val="nil"/>
              <w:left w:val="nil"/>
              <w:bottom w:val="nil"/>
              <w:right w:val="nil"/>
            </w:tcBorders>
            <w:shd w:val="clear" w:color="auto" w:fill="auto"/>
            <w:noWrap/>
            <w:vAlign w:val="bottom"/>
            <w:hideMark/>
          </w:tcPr>
          <w:p w:rsidR="005058F4" w:rsidRPr="00411CFA" w:rsidRDefault="005058F4" w:rsidP="00D42B55">
            <w:pPr>
              <w:spacing w:after="0" w:line="240" w:lineRule="auto"/>
              <w:jc w:val="center"/>
              <w:rPr>
                <w:rFonts w:ascii="Helvetica Neue" w:eastAsia="Times New Roman" w:hAnsi="Helvetica Neue" w:cs="Times New Roman"/>
                <w:color w:val="000000"/>
                <w:lang w:eastAsia="fr-FR"/>
              </w:rPr>
            </w:pPr>
          </w:p>
        </w:tc>
      </w:tr>
    </w:tbl>
    <w:p w:rsidR="00377A2F" w:rsidRPr="00377A2F" w:rsidRDefault="00233FDF" w:rsidP="007E5A58">
      <w:pPr>
        <w:spacing w:after="0" w:line="240" w:lineRule="auto"/>
        <w:jc w:val="both"/>
        <w:rPr>
          <w:rFonts w:ascii="Bookman Old Style" w:hAnsi="Bookman Old Style"/>
        </w:rPr>
      </w:pPr>
      <w:r>
        <w:rPr>
          <w:rFonts w:ascii="Bookman Old Style" w:hAnsi="Bookman Old Style"/>
          <w:vertAlign w:val="superscript"/>
        </w:rPr>
        <w:t>c</w:t>
      </w:r>
      <w:r w:rsidR="00377A2F" w:rsidRPr="00377A2F">
        <w:rPr>
          <w:rFonts w:ascii="Bookman Old Style" w:hAnsi="Bookman Old Style"/>
        </w:rPr>
        <w:t xml:space="preserve"> Obligatoire pour un parcours en vue de l’accès à l’Ecole Doctorale. </w:t>
      </w:r>
    </w:p>
    <w:p w:rsidR="00377A2F" w:rsidRDefault="00377A2F" w:rsidP="007E5A58">
      <w:pPr>
        <w:spacing w:after="0" w:line="240" w:lineRule="auto"/>
        <w:jc w:val="both"/>
        <w:rPr>
          <w:rFonts w:ascii="Bookman Old Style" w:hAnsi="Bookman Old Style"/>
        </w:rPr>
      </w:pPr>
    </w:p>
    <w:p w:rsidR="00FC2EB6" w:rsidRDefault="00FC2EB6" w:rsidP="00FC2EB6">
      <w:pPr>
        <w:spacing w:after="0" w:line="240" w:lineRule="auto"/>
        <w:jc w:val="both"/>
        <w:rPr>
          <w:rFonts w:ascii="Bookman Old Style" w:hAnsi="Bookman Old Style"/>
          <w:bCs/>
          <w:color w:val="000000"/>
        </w:rPr>
      </w:pPr>
      <w:r w:rsidRPr="001C5D2B">
        <w:rPr>
          <w:rFonts w:ascii="Bookman Old Style" w:hAnsi="Bookman Old Style"/>
          <w:b/>
          <w:color w:val="000000"/>
        </w:rPr>
        <w:t>NB :</w:t>
      </w:r>
      <w:r>
        <w:rPr>
          <w:rFonts w:ascii="Bookman Old Style" w:hAnsi="Bookman Old Style"/>
          <w:color w:val="000000"/>
        </w:rPr>
        <w:t xml:space="preserve"> </w:t>
      </w:r>
      <w:r w:rsidRPr="008036A1">
        <w:rPr>
          <w:rFonts w:ascii="Bookman Old Style" w:hAnsi="Bookman Old Style"/>
          <w:color w:val="000000"/>
        </w:rPr>
        <w:t>Le mémoire doit permettre à l’étudiant, comme au jury, de tester le goût et l’aptitude de l’étudiant à répondre à une question de recherche. Il donne tout d’abord à l’étudiant l’opportunité de mettre en œuvre dans les conditions concrètes de la recherche, les compétences acquises au cours de la formation ; et ensuite, de tester son aptitude à mener une recherche personnelle, c’est-à-dire explorer et maîtriser par lui-même une thématique plus spécialisée de l’analyse économique et juridique. L</w:t>
      </w:r>
      <w:r w:rsidRPr="008036A1">
        <w:rPr>
          <w:rFonts w:ascii="Bookman Old Style" w:hAnsi="Bookman Old Style"/>
          <w:bCs/>
          <w:color w:val="000000"/>
        </w:rPr>
        <w:t xml:space="preserve">es étudiants sont encadrés par un enseignant, membre </w:t>
      </w:r>
      <w:r>
        <w:rPr>
          <w:rFonts w:ascii="Bookman Old Style" w:hAnsi="Bookman Old Style"/>
          <w:bCs/>
          <w:color w:val="000000"/>
        </w:rPr>
        <w:t>de l’</w:t>
      </w:r>
      <w:r w:rsidRPr="008036A1">
        <w:rPr>
          <w:rFonts w:ascii="Bookman Old Style" w:hAnsi="Bookman Old Style"/>
          <w:bCs/>
          <w:color w:val="000000"/>
        </w:rPr>
        <w:t>équipe de recherche sur l</w:t>
      </w:r>
      <w:r>
        <w:rPr>
          <w:rFonts w:ascii="Bookman Old Style" w:hAnsi="Bookman Old Style"/>
          <w:bCs/>
          <w:color w:val="000000"/>
        </w:rPr>
        <w:t>a</w:t>
      </w:r>
      <w:r w:rsidRPr="008036A1">
        <w:rPr>
          <w:rFonts w:ascii="Bookman Old Style" w:hAnsi="Bookman Old Style"/>
          <w:bCs/>
          <w:color w:val="000000"/>
        </w:rPr>
        <w:t>quelle s’appuie la formati</w:t>
      </w:r>
      <w:r w:rsidRPr="008036A1">
        <w:rPr>
          <w:rFonts w:ascii="Bookman Old Style" w:hAnsi="Bookman Old Style"/>
          <w:b/>
          <w:bCs/>
          <w:color w:val="000000"/>
        </w:rPr>
        <w:t>o</w:t>
      </w:r>
      <w:r w:rsidRPr="008036A1">
        <w:rPr>
          <w:rFonts w:ascii="Bookman Old Style" w:hAnsi="Bookman Old Style"/>
          <w:bCs/>
          <w:color w:val="000000"/>
        </w:rPr>
        <w:t>n </w:t>
      </w:r>
      <w:r>
        <w:rPr>
          <w:rFonts w:ascii="Bookman Old Style" w:hAnsi="Bookman Old Style"/>
          <w:bCs/>
          <w:color w:val="000000"/>
        </w:rPr>
        <w:t>à titre principal</w:t>
      </w:r>
      <w:r w:rsidRPr="008036A1">
        <w:rPr>
          <w:rFonts w:ascii="Bookman Old Style" w:hAnsi="Bookman Old Style"/>
          <w:bCs/>
          <w:color w:val="000000"/>
        </w:rPr>
        <w:t>: EconomiX (UMR CNRS et Paris Ouest-Nanterre)</w:t>
      </w:r>
      <w:r>
        <w:rPr>
          <w:rFonts w:ascii="Bookman Old Style" w:hAnsi="Bookman Old Style"/>
          <w:bCs/>
          <w:color w:val="000000"/>
        </w:rPr>
        <w:t>, ou par un enseignant membre de l’une des équipes de droit associées à la formation</w:t>
      </w:r>
      <w:r w:rsidRPr="008036A1">
        <w:rPr>
          <w:rFonts w:ascii="Bookman Old Style" w:hAnsi="Bookman Old Style"/>
          <w:bCs/>
          <w:color w:val="000000"/>
        </w:rPr>
        <w:t>.</w:t>
      </w:r>
    </w:p>
    <w:p w:rsidR="00BD775E" w:rsidRDefault="00BD775E" w:rsidP="007E5A58">
      <w:pPr>
        <w:spacing w:after="0" w:line="240" w:lineRule="auto"/>
        <w:jc w:val="both"/>
        <w:rPr>
          <w:rFonts w:ascii="Bookman Old Style" w:hAnsi="Bookman Old Style"/>
        </w:rPr>
      </w:pPr>
    </w:p>
    <w:p w:rsidR="00800824" w:rsidRDefault="00800824" w:rsidP="007E5A58">
      <w:pPr>
        <w:spacing w:after="0" w:line="240" w:lineRule="auto"/>
        <w:jc w:val="both"/>
        <w:rPr>
          <w:rFonts w:ascii="Bookman Old Style" w:hAnsi="Bookman Old Style"/>
        </w:rPr>
      </w:pPr>
    </w:p>
    <w:p w:rsidR="00E03E96" w:rsidRPr="00E03E96" w:rsidRDefault="00187F0D" w:rsidP="002C0CB4">
      <w:pPr>
        <w:rPr>
          <w:rFonts w:ascii="Times New Roman" w:hAnsi="Times New Roman" w:cs="Times New Roman"/>
          <w:b/>
        </w:rPr>
      </w:pPr>
      <w:r w:rsidRPr="00187F0D">
        <w:rPr>
          <w:rFonts w:ascii="Times New Roman" w:hAnsi="Times New Roman" w:cs="Times New Roman"/>
          <w:b/>
        </w:rPr>
        <w:t xml:space="preserve">7/ </w:t>
      </w:r>
      <w:r w:rsidR="00E03E96" w:rsidRPr="00E03E96">
        <w:rPr>
          <w:rFonts w:ascii="Times New Roman" w:hAnsi="Times New Roman" w:cs="Times New Roman"/>
          <w:b/>
        </w:rPr>
        <w:t>MODALITES DE CONTROLE ET OBTENTION DU DIPLOME</w:t>
      </w:r>
    </w:p>
    <w:p w:rsidR="00757FD6" w:rsidRPr="001922C6" w:rsidRDefault="001922C6" w:rsidP="00757FD6">
      <w:pPr>
        <w:spacing w:after="120" w:line="240" w:lineRule="auto"/>
        <w:jc w:val="both"/>
        <w:rPr>
          <w:rFonts w:ascii="Bookman Old Style" w:hAnsi="Bookman Old Style"/>
        </w:rPr>
      </w:pPr>
      <w:r w:rsidRPr="001922C6">
        <w:rPr>
          <w:rFonts w:ascii="Bookman Old Style" w:hAnsi="Bookman Old Style"/>
        </w:rPr>
        <w:t>Chaque enseignement est validé par un examen écrit</w:t>
      </w:r>
      <w:r w:rsidR="00317C11">
        <w:rPr>
          <w:rFonts w:ascii="Bookman Old Style" w:hAnsi="Bookman Old Style"/>
        </w:rPr>
        <w:t xml:space="preserve">, </w:t>
      </w:r>
      <w:r w:rsidR="00187F0D">
        <w:rPr>
          <w:rFonts w:ascii="Bookman Old Style" w:hAnsi="Bookman Old Style"/>
        </w:rPr>
        <w:t>ou</w:t>
      </w:r>
      <w:r w:rsidR="007E7734">
        <w:rPr>
          <w:rFonts w:ascii="Bookman Old Style" w:hAnsi="Bookman Old Style"/>
        </w:rPr>
        <w:t xml:space="preserve"> </w:t>
      </w:r>
      <w:r w:rsidR="00810E00">
        <w:rPr>
          <w:rFonts w:ascii="Bookman Old Style" w:hAnsi="Bookman Old Style"/>
        </w:rPr>
        <w:t xml:space="preserve">un examen </w:t>
      </w:r>
      <w:r w:rsidR="00317C11">
        <w:rPr>
          <w:rFonts w:ascii="Bookman Old Style" w:hAnsi="Bookman Old Style"/>
        </w:rPr>
        <w:t>oral</w:t>
      </w:r>
      <w:r w:rsidRPr="001922C6">
        <w:rPr>
          <w:rFonts w:ascii="Bookman Old Style" w:hAnsi="Bookman Old Style"/>
        </w:rPr>
        <w:t xml:space="preserve"> ou un projet </w:t>
      </w:r>
      <w:r w:rsidR="00317C11">
        <w:rPr>
          <w:rFonts w:ascii="Bookman Old Style" w:hAnsi="Bookman Old Style"/>
        </w:rPr>
        <w:t>rédigé</w:t>
      </w:r>
      <w:r w:rsidRPr="001922C6">
        <w:rPr>
          <w:rFonts w:ascii="Bookman Old Style" w:hAnsi="Bookman Old Style"/>
        </w:rPr>
        <w:t xml:space="preserve">. </w:t>
      </w:r>
      <w:r w:rsidR="00BA2915">
        <w:rPr>
          <w:rFonts w:ascii="Bookman Old Style" w:hAnsi="Bookman Old Style"/>
        </w:rPr>
        <w:t xml:space="preserve">Les projets rédigés concernent plus spécifiquement les enseignements appartenant aux deux blocs intitulés Travaux Encadrés. </w:t>
      </w:r>
      <w:r w:rsidR="00B0365D">
        <w:rPr>
          <w:rFonts w:ascii="Bookman Old Style" w:hAnsi="Bookman Old Style"/>
        </w:rPr>
        <w:t>Les</w:t>
      </w:r>
      <w:r w:rsidR="00757FD6" w:rsidRPr="001922C6">
        <w:rPr>
          <w:rFonts w:ascii="Bookman Old Style" w:hAnsi="Bookman Old Style"/>
        </w:rPr>
        <w:t xml:space="preserve"> examens </w:t>
      </w:r>
      <w:r w:rsidR="00B0365D">
        <w:rPr>
          <w:rFonts w:ascii="Bookman Old Style" w:hAnsi="Bookman Old Style"/>
        </w:rPr>
        <w:t>peuvent se dérouler à l’issue de chaque enseignement.</w:t>
      </w:r>
      <w:r w:rsidR="00757FD6" w:rsidRPr="001922C6">
        <w:rPr>
          <w:rFonts w:ascii="Bookman Old Style" w:hAnsi="Bookman Old Style"/>
        </w:rPr>
        <w:t xml:space="preserve"> </w:t>
      </w:r>
      <w:r w:rsidR="00B0365D">
        <w:rPr>
          <w:rFonts w:ascii="Bookman Old Style" w:hAnsi="Bookman Old Style"/>
        </w:rPr>
        <w:t>U</w:t>
      </w:r>
      <w:r w:rsidR="00757FD6" w:rsidRPr="001922C6">
        <w:rPr>
          <w:rFonts w:ascii="Bookman Old Style" w:hAnsi="Bookman Old Style"/>
        </w:rPr>
        <w:t xml:space="preserve">ne session de rattrapage </w:t>
      </w:r>
      <w:r w:rsidR="00B0365D">
        <w:rPr>
          <w:rFonts w:ascii="Bookman Old Style" w:hAnsi="Bookman Old Style"/>
        </w:rPr>
        <w:t xml:space="preserve">est organisée </w:t>
      </w:r>
      <w:r w:rsidR="00757FD6" w:rsidRPr="001922C6">
        <w:rPr>
          <w:rFonts w:ascii="Bookman Old Style" w:hAnsi="Bookman Old Style"/>
        </w:rPr>
        <w:t>en septembre</w:t>
      </w:r>
      <w:r w:rsidR="00810E00">
        <w:rPr>
          <w:rFonts w:ascii="Bookman Old Style" w:hAnsi="Bookman Old Style"/>
        </w:rPr>
        <w:t>.</w:t>
      </w:r>
    </w:p>
    <w:p w:rsidR="001922C6" w:rsidRPr="001922C6" w:rsidRDefault="001922C6" w:rsidP="001922C6">
      <w:pPr>
        <w:spacing w:after="120" w:line="240" w:lineRule="auto"/>
        <w:jc w:val="both"/>
        <w:rPr>
          <w:rFonts w:ascii="Bookman Old Style" w:hAnsi="Bookman Old Style"/>
        </w:rPr>
      </w:pPr>
      <w:r w:rsidRPr="001922C6">
        <w:rPr>
          <w:rFonts w:ascii="Bookman Old Style" w:hAnsi="Bookman Old Style"/>
        </w:rPr>
        <w:t xml:space="preserve">La note finale est la moyenne arithmétique des notes de chaque enseignement, sans coefficient. Est déclaré admissible, le candidat ayant obtenu à l'ensemble de ces </w:t>
      </w:r>
      <w:r w:rsidRPr="001922C6">
        <w:rPr>
          <w:rFonts w:ascii="Bookman Old Style" w:hAnsi="Bookman Old Style"/>
        </w:rPr>
        <w:lastRenderedPageBreak/>
        <w:t>épreuves au moins la moyenne</w:t>
      </w:r>
      <w:r>
        <w:rPr>
          <w:rFonts w:ascii="Bookman Old Style" w:hAnsi="Bookman Old Style"/>
        </w:rPr>
        <w:t xml:space="preserve"> de</w:t>
      </w:r>
      <w:r w:rsidRPr="001922C6">
        <w:rPr>
          <w:rFonts w:ascii="Bookman Old Style" w:hAnsi="Bookman Old Style"/>
        </w:rPr>
        <w:t xml:space="preserve"> 10 sur 20. Toutefois, nul ne peut être diplômé s’il n’obtient pas la note minimale de 10 </w:t>
      </w:r>
      <w:r>
        <w:rPr>
          <w:rFonts w:ascii="Bookman Old Style" w:hAnsi="Bookman Old Style"/>
        </w:rPr>
        <w:t xml:space="preserve">sur 20 </w:t>
      </w:r>
      <w:r w:rsidRPr="001922C6">
        <w:rPr>
          <w:rFonts w:ascii="Bookman Old Style" w:hAnsi="Bookman Old Style"/>
        </w:rPr>
        <w:t>au mémoire ou au rapport de stage.</w:t>
      </w:r>
    </w:p>
    <w:p w:rsidR="00B91A93" w:rsidRDefault="007E7734" w:rsidP="00277305">
      <w:pPr>
        <w:spacing w:after="120" w:line="240" w:lineRule="auto"/>
        <w:jc w:val="both"/>
        <w:rPr>
          <w:rFonts w:ascii="Times New Roman" w:hAnsi="Times New Roman" w:cs="Times New Roman"/>
        </w:rPr>
      </w:pPr>
      <w:r>
        <w:rPr>
          <w:rFonts w:ascii="Bookman Old Style" w:hAnsi="Bookman Old Style"/>
        </w:rPr>
        <w:t xml:space="preserve">Les </w:t>
      </w:r>
      <w:r w:rsidR="00757FD6" w:rsidRPr="001922C6">
        <w:rPr>
          <w:rFonts w:ascii="Bookman Old Style" w:hAnsi="Bookman Old Style"/>
        </w:rPr>
        <w:t>Mentions </w:t>
      </w:r>
      <w:r>
        <w:rPr>
          <w:rFonts w:ascii="Bookman Old Style" w:hAnsi="Bookman Old Style"/>
        </w:rPr>
        <w:t xml:space="preserve">sont attribuées ainsi </w:t>
      </w:r>
      <w:r w:rsidR="00757FD6" w:rsidRPr="001922C6">
        <w:rPr>
          <w:rFonts w:ascii="Bookman Old Style" w:hAnsi="Bookman Old Style"/>
        </w:rPr>
        <w:t>: Assez-Bien (12/20), mention Bien (14/20), mention Très Bien (16/20)</w:t>
      </w:r>
      <w:r w:rsidR="00B91A93">
        <w:rPr>
          <w:rFonts w:ascii="Bookman Old Style" w:hAnsi="Bookman Old Style"/>
        </w:rPr>
        <w:t>.</w:t>
      </w:r>
      <w:r w:rsidR="00B91A93">
        <w:rPr>
          <w:rFonts w:ascii="Times New Roman" w:hAnsi="Times New Roman" w:cs="Times New Roman"/>
        </w:rPr>
        <w:br w:type="page"/>
      </w:r>
    </w:p>
    <w:p w:rsidR="00B91A93" w:rsidRPr="0004256A" w:rsidRDefault="00B91A93" w:rsidP="00B91A93">
      <w:pPr>
        <w:jc w:val="center"/>
        <w:rPr>
          <w:rFonts w:ascii="Bookman Old Style" w:hAnsi="Bookman Old Style" w:cs="Times New Roman"/>
          <w:b/>
        </w:rPr>
      </w:pPr>
      <w:r w:rsidRPr="0004256A">
        <w:rPr>
          <w:rFonts w:ascii="Bookman Old Style" w:hAnsi="Bookman Old Style" w:cs="Times New Roman"/>
          <w:b/>
        </w:rPr>
        <w:lastRenderedPageBreak/>
        <w:t>Intervenants du M2 EdD</w:t>
      </w:r>
    </w:p>
    <w:p w:rsidR="0004256A" w:rsidRPr="004150B8" w:rsidRDefault="0004256A" w:rsidP="00B91A93">
      <w:pPr>
        <w:jc w:val="center"/>
        <w:rPr>
          <w:rFonts w:ascii="Bookman Old Style" w:hAnsi="Bookman Old Style" w:cs="Times New Roman"/>
        </w:rPr>
      </w:pPr>
    </w:p>
    <w:tbl>
      <w:tblPr>
        <w:tblStyle w:val="Grilledutableau"/>
        <w:tblW w:w="0" w:type="auto"/>
        <w:tblLayout w:type="fixed"/>
        <w:tblLook w:val="04A0" w:firstRow="1" w:lastRow="0" w:firstColumn="1" w:lastColumn="0" w:noHBand="0" w:noVBand="1"/>
      </w:tblPr>
      <w:tblGrid>
        <w:gridCol w:w="2518"/>
        <w:gridCol w:w="1701"/>
        <w:gridCol w:w="5069"/>
      </w:tblGrid>
      <w:tr w:rsidR="00B91A93" w:rsidRPr="004150B8" w:rsidTr="00231A20">
        <w:tc>
          <w:tcPr>
            <w:tcW w:w="2518" w:type="dxa"/>
          </w:tcPr>
          <w:p w:rsidR="00B91A93" w:rsidRPr="004150B8" w:rsidRDefault="00B91A93" w:rsidP="003057D5">
            <w:pPr>
              <w:rPr>
                <w:rFonts w:ascii="Bookman Old Style" w:hAnsi="Bookman Old Style" w:cs="Times New Roman"/>
                <w:b/>
              </w:rPr>
            </w:pPr>
            <w:r w:rsidRPr="004150B8">
              <w:rPr>
                <w:rFonts w:ascii="Bookman Old Style" w:hAnsi="Bookman Old Style" w:cs="Times New Roman"/>
                <w:b/>
              </w:rPr>
              <w:t>Nom Prénom</w:t>
            </w:r>
          </w:p>
        </w:tc>
        <w:tc>
          <w:tcPr>
            <w:tcW w:w="1701" w:type="dxa"/>
          </w:tcPr>
          <w:p w:rsidR="00B91A93" w:rsidRPr="004150B8" w:rsidRDefault="00B91A93" w:rsidP="003057D5">
            <w:pPr>
              <w:rPr>
                <w:rFonts w:ascii="Bookman Old Style" w:hAnsi="Bookman Old Style" w:cs="Times New Roman"/>
                <w:b/>
              </w:rPr>
            </w:pPr>
            <w:r w:rsidRPr="004150B8">
              <w:rPr>
                <w:rFonts w:ascii="Bookman Old Style" w:hAnsi="Bookman Old Style" w:cs="Times New Roman"/>
                <w:b/>
              </w:rPr>
              <w:t>UFR/</w:t>
            </w:r>
          </w:p>
          <w:p w:rsidR="00B91A93" w:rsidRPr="004150B8" w:rsidRDefault="00B91A93" w:rsidP="003057D5">
            <w:pPr>
              <w:rPr>
                <w:rFonts w:ascii="Bookman Old Style" w:hAnsi="Bookman Old Style" w:cs="Times New Roman"/>
                <w:b/>
              </w:rPr>
            </w:pPr>
            <w:r w:rsidRPr="004150B8">
              <w:rPr>
                <w:rFonts w:ascii="Bookman Old Style" w:hAnsi="Bookman Old Style" w:cs="Times New Roman"/>
                <w:b/>
              </w:rPr>
              <w:t>Institution</w:t>
            </w:r>
          </w:p>
        </w:tc>
        <w:tc>
          <w:tcPr>
            <w:tcW w:w="5069" w:type="dxa"/>
          </w:tcPr>
          <w:p w:rsidR="00B91A93" w:rsidRPr="004150B8" w:rsidRDefault="00B91A93" w:rsidP="003057D5">
            <w:pPr>
              <w:rPr>
                <w:rFonts w:ascii="Bookman Old Style" w:hAnsi="Bookman Old Style" w:cs="Times New Roman"/>
                <w:b/>
              </w:rPr>
            </w:pPr>
            <w:r w:rsidRPr="004150B8">
              <w:rPr>
                <w:rFonts w:ascii="Bookman Old Style" w:hAnsi="Bookman Old Style" w:cs="Times New Roman"/>
                <w:b/>
              </w:rPr>
              <w:t>Email</w:t>
            </w:r>
          </w:p>
        </w:tc>
      </w:tr>
      <w:tr w:rsidR="00B91A93" w:rsidRPr="004150B8" w:rsidTr="00231A20">
        <w:tc>
          <w:tcPr>
            <w:tcW w:w="2518"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Baudry Marc</w:t>
            </w:r>
          </w:p>
        </w:tc>
        <w:tc>
          <w:tcPr>
            <w:tcW w:w="1701"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SEGMI</w:t>
            </w:r>
          </w:p>
        </w:tc>
        <w:tc>
          <w:tcPr>
            <w:tcW w:w="5069" w:type="dxa"/>
          </w:tcPr>
          <w:p w:rsidR="00B91A93" w:rsidRPr="004150B8" w:rsidRDefault="005A4CF2" w:rsidP="003057D5">
            <w:pPr>
              <w:rPr>
                <w:rFonts w:ascii="Bookman Old Style" w:hAnsi="Bookman Old Style" w:cs="Times New Roman"/>
              </w:rPr>
            </w:pPr>
            <w:hyperlink r:id="rId25" w:history="1">
              <w:r w:rsidR="00B91A93" w:rsidRPr="004150B8">
                <w:rPr>
                  <w:rStyle w:val="Lienhypertexte"/>
                  <w:rFonts w:ascii="Bookman Old Style" w:hAnsi="Bookman Old Style" w:cs="Times New Roman"/>
                </w:rPr>
                <w:t>Marc.Baudry@u-paris10.fr</w:t>
              </w:r>
            </w:hyperlink>
          </w:p>
        </w:tc>
      </w:tr>
      <w:tr w:rsidR="00B91A93" w:rsidRPr="004150B8" w:rsidTr="00231A20">
        <w:tc>
          <w:tcPr>
            <w:tcW w:w="2518"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Cosnita Andreea</w:t>
            </w:r>
          </w:p>
        </w:tc>
        <w:tc>
          <w:tcPr>
            <w:tcW w:w="1701"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SEGMI</w:t>
            </w:r>
          </w:p>
        </w:tc>
        <w:tc>
          <w:tcPr>
            <w:tcW w:w="5069" w:type="dxa"/>
          </w:tcPr>
          <w:p w:rsidR="00B91A93" w:rsidRPr="004150B8" w:rsidRDefault="005A4CF2" w:rsidP="003057D5">
            <w:pPr>
              <w:rPr>
                <w:rFonts w:ascii="Bookman Old Style" w:hAnsi="Bookman Old Style" w:cs="Times New Roman"/>
              </w:rPr>
            </w:pPr>
            <w:hyperlink r:id="rId26" w:history="1">
              <w:r w:rsidR="00B91A93" w:rsidRPr="004150B8">
                <w:rPr>
                  <w:rStyle w:val="Lienhypertexte"/>
                  <w:rFonts w:ascii="Bookman Old Style" w:hAnsi="Bookman Old Style" w:cs="Times New Roman"/>
                </w:rPr>
                <w:t>acosnita@u-paris10.fr</w:t>
              </w:r>
            </w:hyperlink>
          </w:p>
        </w:tc>
      </w:tr>
      <w:tr w:rsidR="00B91A93" w:rsidRPr="004150B8" w:rsidTr="00231A20">
        <w:tc>
          <w:tcPr>
            <w:tcW w:w="2518"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El</w:t>
            </w:r>
            <w:r w:rsidR="003D22A6">
              <w:rPr>
                <w:rFonts w:ascii="Bookman Old Style" w:hAnsi="Bookman Old Style" w:cs="Times New Roman"/>
              </w:rPr>
              <w:t xml:space="preserve"> </w:t>
            </w:r>
            <w:r w:rsidRPr="004150B8">
              <w:rPr>
                <w:rFonts w:ascii="Bookman Old Style" w:hAnsi="Bookman Old Style" w:cs="Times New Roman"/>
              </w:rPr>
              <w:t>Badaoui Eliane</w:t>
            </w:r>
          </w:p>
        </w:tc>
        <w:tc>
          <w:tcPr>
            <w:tcW w:w="1701"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SEGMI</w:t>
            </w:r>
          </w:p>
        </w:tc>
        <w:tc>
          <w:tcPr>
            <w:tcW w:w="5069" w:type="dxa"/>
          </w:tcPr>
          <w:p w:rsidR="00B91A93" w:rsidRPr="004150B8" w:rsidRDefault="005A4CF2" w:rsidP="003057D5">
            <w:pPr>
              <w:rPr>
                <w:rFonts w:ascii="Bookman Old Style" w:hAnsi="Bookman Old Style"/>
              </w:rPr>
            </w:pPr>
            <w:hyperlink r:id="rId27" w:history="1">
              <w:r w:rsidR="00B91A93" w:rsidRPr="004150B8">
                <w:rPr>
                  <w:rStyle w:val="Lienhypertexte"/>
                  <w:rFonts w:ascii="Bookman Old Style" w:hAnsi="Bookman Old Style"/>
                </w:rPr>
                <w:t>ebadaoui@u-paris10.fr</w:t>
              </w:r>
            </w:hyperlink>
          </w:p>
        </w:tc>
      </w:tr>
      <w:tr w:rsidR="00B91A93" w:rsidRPr="004150B8" w:rsidTr="00231A20">
        <w:tc>
          <w:tcPr>
            <w:tcW w:w="2518"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Langlais Eric</w:t>
            </w:r>
          </w:p>
        </w:tc>
        <w:tc>
          <w:tcPr>
            <w:tcW w:w="1701"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SEGMI</w:t>
            </w:r>
          </w:p>
        </w:tc>
        <w:tc>
          <w:tcPr>
            <w:tcW w:w="5069" w:type="dxa"/>
          </w:tcPr>
          <w:p w:rsidR="00B91A93" w:rsidRPr="004150B8" w:rsidRDefault="005A4CF2" w:rsidP="003057D5">
            <w:pPr>
              <w:rPr>
                <w:rFonts w:ascii="Bookman Old Style" w:hAnsi="Bookman Old Style" w:cs="Times New Roman"/>
              </w:rPr>
            </w:pPr>
            <w:hyperlink r:id="rId28" w:history="1">
              <w:r w:rsidR="00B91A93" w:rsidRPr="004150B8">
                <w:rPr>
                  <w:rStyle w:val="Lienhypertexte"/>
                  <w:rFonts w:ascii="Bookman Old Style" w:hAnsi="Bookman Old Style" w:cs="Times New Roman"/>
                </w:rPr>
                <w:t>Eric.Langlais@u-paris10.fr</w:t>
              </w:r>
            </w:hyperlink>
          </w:p>
        </w:tc>
      </w:tr>
      <w:tr w:rsidR="00B91A93" w:rsidRPr="004150B8" w:rsidTr="00231A20">
        <w:tc>
          <w:tcPr>
            <w:tcW w:w="2518"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Souam Saïd</w:t>
            </w:r>
          </w:p>
        </w:tc>
        <w:tc>
          <w:tcPr>
            <w:tcW w:w="1701"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SEGMI</w:t>
            </w:r>
          </w:p>
        </w:tc>
        <w:tc>
          <w:tcPr>
            <w:tcW w:w="5069" w:type="dxa"/>
          </w:tcPr>
          <w:p w:rsidR="00B91A93" w:rsidRPr="004150B8" w:rsidRDefault="005A4CF2" w:rsidP="003057D5">
            <w:pPr>
              <w:rPr>
                <w:rFonts w:ascii="Bookman Old Style" w:hAnsi="Bookman Old Style" w:cs="Times New Roman"/>
              </w:rPr>
            </w:pPr>
            <w:hyperlink r:id="rId29" w:history="1">
              <w:r w:rsidR="00B91A93" w:rsidRPr="004150B8">
                <w:rPr>
                  <w:rStyle w:val="Lienhypertexte"/>
                  <w:rFonts w:ascii="Bookman Old Style" w:hAnsi="Bookman Old Style" w:cs="Times New Roman"/>
                  <w:lang w:val="en-US"/>
                </w:rPr>
                <w:t>Said.Souam@ensae.fr</w:t>
              </w:r>
            </w:hyperlink>
          </w:p>
        </w:tc>
      </w:tr>
      <w:tr w:rsidR="00231A20" w:rsidRPr="004150B8" w:rsidTr="00231A20">
        <w:tc>
          <w:tcPr>
            <w:tcW w:w="2518" w:type="dxa"/>
          </w:tcPr>
          <w:p w:rsidR="00231A20" w:rsidRPr="004150B8" w:rsidRDefault="00231A20" w:rsidP="003057D5">
            <w:pPr>
              <w:rPr>
                <w:rFonts w:ascii="Bookman Old Style" w:hAnsi="Bookman Old Style" w:cs="Times New Roman"/>
              </w:rPr>
            </w:pPr>
            <w:r>
              <w:rPr>
                <w:rFonts w:ascii="Bookman Old Style" w:hAnsi="Bookman Old Style" w:cs="Times New Roman"/>
              </w:rPr>
              <w:t>Melcarne Alessandro</w:t>
            </w:r>
          </w:p>
        </w:tc>
        <w:tc>
          <w:tcPr>
            <w:tcW w:w="1701" w:type="dxa"/>
          </w:tcPr>
          <w:p w:rsidR="00231A20" w:rsidRPr="004150B8" w:rsidRDefault="00231A20" w:rsidP="003057D5">
            <w:pPr>
              <w:rPr>
                <w:rFonts w:ascii="Bookman Old Style" w:hAnsi="Bookman Old Style" w:cs="Times New Roman"/>
              </w:rPr>
            </w:pPr>
            <w:r>
              <w:rPr>
                <w:rFonts w:ascii="Bookman Old Style" w:hAnsi="Bookman Old Style" w:cs="Times New Roman"/>
              </w:rPr>
              <w:t>SEGMI</w:t>
            </w:r>
          </w:p>
        </w:tc>
        <w:tc>
          <w:tcPr>
            <w:tcW w:w="5069" w:type="dxa"/>
          </w:tcPr>
          <w:p w:rsidR="00231A20" w:rsidRPr="00231A20" w:rsidRDefault="005A4CF2" w:rsidP="003057D5">
            <w:pPr>
              <w:rPr>
                <w:rFonts w:ascii="Bookman Old Style" w:hAnsi="Bookman Old Style"/>
              </w:rPr>
            </w:pPr>
            <w:hyperlink r:id="rId30" w:history="1">
              <w:r w:rsidR="00231A20" w:rsidRPr="00231A20">
                <w:rPr>
                  <w:rStyle w:val="Lienhypertexte"/>
                  <w:rFonts w:ascii="Bookman Old Style" w:hAnsi="Bookman Old Style"/>
                </w:rPr>
                <w:t>alessandro.melcarne@unito.it</w:t>
              </w:r>
            </w:hyperlink>
            <w:r w:rsidR="00231A20" w:rsidRPr="00231A20">
              <w:rPr>
                <w:rFonts w:ascii="Bookman Old Style" w:hAnsi="Bookman Old Style"/>
              </w:rPr>
              <w:t xml:space="preserve"> </w:t>
            </w:r>
          </w:p>
        </w:tc>
      </w:tr>
      <w:tr w:rsidR="007C0C50" w:rsidRPr="004150B8" w:rsidTr="00231A20">
        <w:tc>
          <w:tcPr>
            <w:tcW w:w="2518" w:type="dxa"/>
          </w:tcPr>
          <w:p w:rsidR="007C0C50" w:rsidRPr="004150B8" w:rsidRDefault="007C0C50" w:rsidP="003057D5">
            <w:pPr>
              <w:rPr>
                <w:rFonts w:ascii="Bookman Old Style" w:hAnsi="Bookman Old Style" w:cs="Times New Roman"/>
              </w:rPr>
            </w:pPr>
            <w:r>
              <w:rPr>
                <w:rFonts w:ascii="Bookman Old Style" w:hAnsi="Bookman Old Style" w:cs="Times New Roman"/>
              </w:rPr>
              <w:t>Zouikri Messaoud</w:t>
            </w:r>
          </w:p>
        </w:tc>
        <w:tc>
          <w:tcPr>
            <w:tcW w:w="1701" w:type="dxa"/>
          </w:tcPr>
          <w:p w:rsidR="007C0C50" w:rsidRPr="004150B8" w:rsidRDefault="007C0C50" w:rsidP="003057D5">
            <w:pPr>
              <w:rPr>
                <w:rFonts w:ascii="Bookman Old Style" w:hAnsi="Bookman Old Style" w:cs="Times New Roman"/>
              </w:rPr>
            </w:pPr>
            <w:r>
              <w:rPr>
                <w:rFonts w:ascii="Bookman Old Style" w:hAnsi="Bookman Old Style" w:cs="Times New Roman"/>
              </w:rPr>
              <w:t>SEGMI</w:t>
            </w:r>
          </w:p>
        </w:tc>
        <w:tc>
          <w:tcPr>
            <w:tcW w:w="5069" w:type="dxa"/>
          </w:tcPr>
          <w:p w:rsidR="007C0C50" w:rsidRPr="00EF4621" w:rsidRDefault="005A4CF2" w:rsidP="003057D5">
            <w:pPr>
              <w:rPr>
                <w:rFonts w:ascii="Bookman Old Style" w:hAnsi="Bookman Old Style"/>
              </w:rPr>
            </w:pPr>
            <w:hyperlink r:id="rId31" w:history="1">
              <w:r w:rsidR="00EF4621" w:rsidRPr="00EF4621">
                <w:rPr>
                  <w:rStyle w:val="Lienhypertexte"/>
                  <w:rFonts w:ascii="Bookman Old Style" w:hAnsi="Bookman Old Style"/>
                </w:rPr>
                <w:t>mzouikri@u-paris10.fr</w:t>
              </w:r>
            </w:hyperlink>
          </w:p>
        </w:tc>
      </w:tr>
      <w:tr w:rsidR="00B91A93" w:rsidRPr="004150B8" w:rsidTr="00231A20">
        <w:tc>
          <w:tcPr>
            <w:tcW w:w="2518" w:type="dxa"/>
          </w:tcPr>
          <w:p w:rsidR="00B91A93" w:rsidRPr="004150B8" w:rsidRDefault="00B91A93" w:rsidP="003057D5">
            <w:pPr>
              <w:rPr>
                <w:rFonts w:ascii="Bookman Old Style" w:hAnsi="Bookman Old Style" w:cs="Times New Roman"/>
              </w:rPr>
            </w:pPr>
          </w:p>
        </w:tc>
        <w:tc>
          <w:tcPr>
            <w:tcW w:w="1701" w:type="dxa"/>
          </w:tcPr>
          <w:p w:rsidR="00B91A93" w:rsidRPr="004150B8" w:rsidRDefault="00B91A93" w:rsidP="003057D5">
            <w:pPr>
              <w:rPr>
                <w:rFonts w:ascii="Bookman Old Style" w:hAnsi="Bookman Old Style" w:cs="Times New Roman"/>
              </w:rPr>
            </w:pPr>
          </w:p>
        </w:tc>
        <w:tc>
          <w:tcPr>
            <w:tcW w:w="5069" w:type="dxa"/>
          </w:tcPr>
          <w:p w:rsidR="00B91A93" w:rsidRPr="00EF4621" w:rsidRDefault="00B91A93" w:rsidP="003057D5">
            <w:pPr>
              <w:rPr>
                <w:rFonts w:ascii="Bookman Old Style" w:hAnsi="Bookman Old Style" w:cs="Times New Roman"/>
              </w:rPr>
            </w:pPr>
          </w:p>
        </w:tc>
      </w:tr>
      <w:tr w:rsidR="00B91A93" w:rsidRPr="004150B8" w:rsidTr="00231A20">
        <w:tc>
          <w:tcPr>
            <w:tcW w:w="2518"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Barthe Denis</w:t>
            </w:r>
          </w:p>
        </w:tc>
        <w:tc>
          <w:tcPr>
            <w:tcW w:w="1701"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DSP</w:t>
            </w:r>
          </w:p>
        </w:tc>
        <w:tc>
          <w:tcPr>
            <w:tcW w:w="5069" w:type="dxa"/>
          </w:tcPr>
          <w:p w:rsidR="00B91A93" w:rsidRPr="004150B8" w:rsidRDefault="005A4CF2" w:rsidP="003057D5">
            <w:pPr>
              <w:rPr>
                <w:rFonts w:ascii="Bookman Old Style" w:hAnsi="Bookman Old Style" w:cs="Times New Roman"/>
              </w:rPr>
            </w:pPr>
            <w:hyperlink r:id="rId32" w:history="1">
              <w:r w:rsidR="00B91A93" w:rsidRPr="004150B8">
                <w:rPr>
                  <w:rStyle w:val="Lienhypertexte"/>
                  <w:rFonts w:ascii="Bookman Old Style" w:hAnsi="Bookman Old Style" w:cs="Times New Roman"/>
                </w:rPr>
                <w:t>dbarthe.bis@gmail.com</w:t>
              </w:r>
            </w:hyperlink>
          </w:p>
        </w:tc>
      </w:tr>
      <w:tr w:rsidR="00B91A93" w:rsidRPr="004150B8" w:rsidTr="00231A20">
        <w:tc>
          <w:tcPr>
            <w:tcW w:w="2518"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Folliot-Lalliot Laurence</w:t>
            </w:r>
          </w:p>
        </w:tc>
        <w:tc>
          <w:tcPr>
            <w:tcW w:w="1701"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DSP</w:t>
            </w:r>
          </w:p>
        </w:tc>
        <w:tc>
          <w:tcPr>
            <w:tcW w:w="5069" w:type="dxa"/>
          </w:tcPr>
          <w:p w:rsidR="00B91A93" w:rsidRPr="004150B8" w:rsidRDefault="005A4CF2" w:rsidP="003057D5">
            <w:pPr>
              <w:rPr>
                <w:rFonts w:ascii="Bookman Old Style" w:hAnsi="Bookman Old Style" w:cs="Times New Roman"/>
              </w:rPr>
            </w:pPr>
            <w:hyperlink r:id="rId33" w:history="1">
              <w:r w:rsidR="00B91A93" w:rsidRPr="004150B8">
                <w:rPr>
                  <w:rStyle w:val="Lienhypertexte"/>
                  <w:rFonts w:ascii="Bookman Old Style" w:hAnsi="Bookman Old Style" w:cs="Times New Roman"/>
                </w:rPr>
                <w:t>folliot_lalliot@yahoo.fr</w:t>
              </w:r>
            </w:hyperlink>
          </w:p>
        </w:tc>
      </w:tr>
      <w:tr w:rsidR="00B91A93" w:rsidRPr="004150B8" w:rsidTr="00231A20">
        <w:tc>
          <w:tcPr>
            <w:tcW w:w="2518"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Leblond Lauren</w:t>
            </w:r>
          </w:p>
        </w:tc>
        <w:tc>
          <w:tcPr>
            <w:tcW w:w="1701"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DSP</w:t>
            </w:r>
          </w:p>
        </w:tc>
        <w:tc>
          <w:tcPr>
            <w:tcW w:w="5069" w:type="dxa"/>
          </w:tcPr>
          <w:p w:rsidR="00B91A93" w:rsidRPr="004150B8" w:rsidRDefault="005A4CF2" w:rsidP="003057D5">
            <w:pPr>
              <w:rPr>
                <w:rFonts w:ascii="Bookman Old Style" w:hAnsi="Bookman Old Style" w:cs="Times New Roman"/>
              </w:rPr>
            </w:pPr>
            <w:hyperlink r:id="rId34" w:history="1">
              <w:r w:rsidR="00B91A93" w:rsidRPr="004150B8">
                <w:rPr>
                  <w:rStyle w:val="Lienhypertexte"/>
                  <w:rFonts w:ascii="Bookman Old Style" w:hAnsi="Bookman Old Style" w:cs="Times New Roman"/>
                </w:rPr>
                <w:t>lauren.leblond@hotmail.fr</w:t>
              </w:r>
            </w:hyperlink>
          </w:p>
        </w:tc>
      </w:tr>
      <w:tr w:rsidR="00B91A93" w:rsidRPr="004150B8" w:rsidTr="00231A20">
        <w:tc>
          <w:tcPr>
            <w:tcW w:w="2518"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Muller Yvonne</w:t>
            </w:r>
          </w:p>
        </w:tc>
        <w:tc>
          <w:tcPr>
            <w:tcW w:w="1701"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DSP</w:t>
            </w:r>
          </w:p>
        </w:tc>
        <w:tc>
          <w:tcPr>
            <w:tcW w:w="5069" w:type="dxa"/>
          </w:tcPr>
          <w:p w:rsidR="00B91A93" w:rsidRPr="004150B8" w:rsidRDefault="005A4CF2" w:rsidP="003057D5">
            <w:pPr>
              <w:rPr>
                <w:rFonts w:ascii="Bookman Old Style" w:hAnsi="Bookman Old Style" w:cs="Times New Roman"/>
              </w:rPr>
            </w:pPr>
            <w:hyperlink r:id="rId35" w:history="1">
              <w:r w:rsidR="00B91A93" w:rsidRPr="004150B8">
                <w:rPr>
                  <w:rStyle w:val="Lienhypertexte"/>
                  <w:rFonts w:ascii="Bookman Old Style" w:hAnsi="Bookman Old Style" w:cs="Times New Roman"/>
                </w:rPr>
                <w:t>muller.yvonne@orange.fr</w:t>
              </w:r>
            </w:hyperlink>
          </w:p>
        </w:tc>
      </w:tr>
      <w:tr w:rsidR="00B91A93" w:rsidRPr="004150B8" w:rsidTr="00231A20">
        <w:tc>
          <w:tcPr>
            <w:tcW w:w="2518"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Nicolas Valérie</w:t>
            </w:r>
          </w:p>
        </w:tc>
        <w:tc>
          <w:tcPr>
            <w:tcW w:w="1701"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DSP</w:t>
            </w:r>
          </w:p>
        </w:tc>
        <w:tc>
          <w:tcPr>
            <w:tcW w:w="5069" w:type="dxa"/>
          </w:tcPr>
          <w:p w:rsidR="00B91A93" w:rsidRPr="004150B8" w:rsidRDefault="005A4CF2" w:rsidP="003057D5">
            <w:pPr>
              <w:rPr>
                <w:rFonts w:ascii="Bookman Old Style" w:hAnsi="Bookman Old Style" w:cs="Times New Roman"/>
              </w:rPr>
            </w:pPr>
            <w:hyperlink r:id="rId36" w:history="1">
              <w:r w:rsidR="00B91A93" w:rsidRPr="004150B8">
                <w:rPr>
                  <w:rStyle w:val="Lienhypertexte"/>
                  <w:rFonts w:ascii="Bookman Old Style" w:hAnsi="Bookman Old Style" w:cs="Times New Roman"/>
                </w:rPr>
                <w:t>valerie.nicolas12@gmail.com</w:t>
              </w:r>
            </w:hyperlink>
          </w:p>
        </w:tc>
      </w:tr>
      <w:tr w:rsidR="00231A20" w:rsidRPr="004150B8" w:rsidTr="00231A20">
        <w:tc>
          <w:tcPr>
            <w:tcW w:w="2518" w:type="dxa"/>
          </w:tcPr>
          <w:p w:rsidR="00231A20" w:rsidRPr="004150B8" w:rsidRDefault="00231A20" w:rsidP="003057D5">
            <w:pPr>
              <w:rPr>
                <w:rFonts w:ascii="Bookman Old Style" w:hAnsi="Bookman Old Style" w:cs="Times New Roman"/>
              </w:rPr>
            </w:pPr>
            <w:r>
              <w:rPr>
                <w:rFonts w:ascii="Bookman Old Style" w:hAnsi="Bookman Old Style" w:cs="Times New Roman"/>
              </w:rPr>
              <w:t>Reygrobellet Arnaud</w:t>
            </w:r>
          </w:p>
        </w:tc>
        <w:tc>
          <w:tcPr>
            <w:tcW w:w="1701" w:type="dxa"/>
          </w:tcPr>
          <w:p w:rsidR="00231A20" w:rsidRPr="004150B8" w:rsidRDefault="00231A20" w:rsidP="003057D5">
            <w:pPr>
              <w:rPr>
                <w:rFonts w:ascii="Bookman Old Style" w:hAnsi="Bookman Old Style" w:cs="Times New Roman"/>
              </w:rPr>
            </w:pPr>
            <w:r>
              <w:rPr>
                <w:rFonts w:ascii="Bookman Old Style" w:hAnsi="Bookman Old Style" w:cs="Times New Roman"/>
              </w:rPr>
              <w:t>DSP</w:t>
            </w:r>
          </w:p>
        </w:tc>
        <w:tc>
          <w:tcPr>
            <w:tcW w:w="5069" w:type="dxa"/>
          </w:tcPr>
          <w:p w:rsidR="00231A20" w:rsidRPr="00231A20" w:rsidRDefault="005A4CF2" w:rsidP="003057D5">
            <w:pPr>
              <w:rPr>
                <w:rFonts w:ascii="Bookman Old Style" w:hAnsi="Bookman Old Style"/>
              </w:rPr>
            </w:pPr>
            <w:hyperlink r:id="rId37" w:history="1">
              <w:r w:rsidR="00231A20" w:rsidRPr="00231A20">
                <w:rPr>
                  <w:rStyle w:val="Lienhypertexte"/>
                  <w:rFonts w:ascii="Bookman Old Style" w:hAnsi="Bookman Old Style"/>
                </w:rPr>
                <w:t>areygrobellet@u-paris10.fr</w:t>
              </w:r>
            </w:hyperlink>
            <w:r w:rsidR="00231A20" w:rsidRPr="00231A20">
              <w:rPr>
                <w:rFonts w:ascii="Bookman Old Style" w:hAnsi="Bookman Old Style"/>
              </w:rPr>
              <w:t xml:space="preserve"> </w:t>
            </w:r>
          </w:p>
        </w:tc>
      </w:tr>
      <w:tr w:rsidR="00B91A93" w:rsidRPr="004150B8" w:rsidTr="00231A20">
        <w:tc>
          <w:tcPr>
            <w:tcW w:w="2518" w:type="dxa"/>
          </w:tcPr>
          <w:p w:rsidR="00B91A93" w:rsidRPr="004150B8" w:rsidRDefault="00B91A93" w:rsidP="003057D5">
            <w:pPr>
              <w:rPr>
                <w:rFonts w:ascii="Bookman Old Style" w:hAnsi="Bookman Old Style" w:cs="Times New Roman"/>
              </w:rPr>
            </w:pPr>
          </w:p>
        </w:tc>
        <w:tc>
          <w:tcPr>
            <w:tcW w:w="1701" w:type="dxa"/>
          </w:tcPr>
          <w:p w:rsidR="00B91A93" w:rsidRPr="004150B8" w:rsidRDefault="00B91A93" w:rsidP="003057D5">
            <w:pPr>
              <w:rPr>
                <w:rFonts w:ascii="Bookman Old Style" w:hAnsi="Bookman Old Style" w:cs="Times New Roman"/>
              </w:rPr>
            </w:pPr>
          </w:p>
        </w:tc>
        <w:tc>
          <w:tcPr>
            <w:tcW w:w="5069" w:type="dxa"/>
          </w:tcPr>
          <w:p w:rsidR="00B91A93" w:rsidRPr="004150B8" w:rsidRDefault="00B91A93" w:rsidP="003057D5">
            <w:pPr>
              <w:rPr>
                <w:rFonts w:ascii="Bookman Old Style" w:hAnsi="Bookman Old Style" w:cs="Times New Roman"/>
              </w:rPr>
            </w:pPr>
          </w:p>
        </w:tc>
      </w:tr>
      <w:tr w:rsidR="00B91A93" w:rsidRPr="004150B8" w:rsidTr="00231A20">
        <w:tc>
          <w:tcPr>
            <w:tcW w:w="2518"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Dumont Béatrice</w:t>
            </w:r>
          </w:p>
        </w:tc>
        <w:tc>
          <w:tcPr>
            <w:tcW w:w="1701"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Université Paris 13</w:t>
            </w:r>
          </w:p>
        </w:tc>
        <w:tc>
          <w:tcPr>
            <w:tcW w:w="5069" w:type="dxa"/>
          </w:tcPr>
          <w:p w:rsidR="00B91A93" w:rsidRPr="004150B8" w:rsidRDefault="005A4CF2" w:rsidP="003057D5">
            <w:pPr>
              <w:rPr>
                <w:rFonts w:ascii="Bookman Old Style" w:hAnsi="Bookman Old Style" w:cs="Times New Roman"/>
              </w:rPr>
            </w:pPr>
            <w:hyperlink r:id="rId38" w:history="1">
              <w:r w:rsidR="00824EB2" w:rsidRPr="009D15D4">
                <w:rPr>
                  <w:rStyle w:val="Lienhypertexte"/>
                  <w:rFonts w:cs="Times New Roman"/>
                </w:rPr>
                <w:t>b</w:t>
              </w:r>
              <w:r w:rsidR="00824EB2" w:rsidRPr="009D15D4">
                <w:rPr>
                  <w:rStyle w:val="Lienhypertexte"/>
                  <w:rFonts w:ascii="Bookman Old Style" w:hAnsi="Bookman Old Style" w:cs="Times New Roman"/>
                </w:rPr>
                <w:t>eatrice.dumont@univ-paris13.fr</w:t>
              </w:r>
            </w:hyperlink>
          </w:p>
        </w:tc>
      </w:tr>
      <w:tr w:rsidR="001E6E7E" w:rsidRPr="004150B8" w:rsidTr="00231A20">
        <w:tc>
          <w:tcPr>
            <w:tcW w:w="2518" w:type="dxa"/>
          </w:tcPr>
          <w:p w:rsidR="001E6E7E" w:rsidRDefault="001E6E7E" w:rsidP="003057D5">
            <w:pPr>
              <w:rPr>
                <w:rFonts w:ascii="Bookman Old Style" w:hAnsi="Bookman Old Style" w:cs="Times New Roman"/>
              </w:rPr>
            </w:pPr>
          </w:p>
        </w:tc>
        <w:tc>
          <w:tcPr>
            <w:tcW w:w="1701" w:type="dxa"/>
          </w:tcPr>
          <w:p w:rsidR="001E6E7E" w:rsidRDefault="001E6E7E" w:rsidP="003057D5">
            <w:pPr>
              <w:rPr>
                <w:rFonts w:ascii="Bookman Old Style" w:hAnsi="Bookman Old Style" w:cs="Times New Roman"/>
              </w:rPr>
            </w:pPr>
          </w:p>
        </w:tc>
        <w:tc>
          <w:tcPr>
            <w:tcW w:w="5069" w:type="dxa"/>
          </w:tcPr>
          <w:p w:rsidR="001E6E7E" w:rsidRDefault="001E6E7E" w:rsidP="003057D5">
            <w:pPr>
              <w:rPr>
                <w:rFonts w:cs="Times New Roman"/>
              </w:rPr>
            </w:pPr>
          </w:p>
        </w:tc>
      </w:tr>
      <w:tr w:rsidR="00B91A93" w:rsidRPr="004150B8" w:rsidTr="00231A20">
        <w:tc>
          <w:tcPr>
            <w:tcW w:w="2518"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Pfister Etienne</w:t>
            </w:r>
          </w:p>
        </w:tc>
        <w:tc>
          <w:tcPr>
            <w:tcW w:w="1701"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Autorité de la Concurrence</w:t>
            </w:r>
          </w:p>
        </w:tc>
        <w:tc>
          <w:tcPr>
            <w:tcW w:w="5069" w:type="dxa"/>
          </w:tcPr>
          <w:p w:rsidR="00B91A93" w:rsidRDefault="005A4CF2" w:rsidP="003057D5">
            <w:pPr>
              <w:rPr>
                <w:rFonts w:ascii="Bookman Old Style" w:hAnsi="Bookman Old Style"/>
              </w:rPr>
            </w:pPr>
            <w:hyperlink r:id="rId39" w:history="1">
              <w:r w:rsidR="00B91A93" w:rsidRPr="004150B8">
                <w:rPr>
                  <w:rStyle w:val="Lienhypertexte"/>
                  <w:rFonts w:ascii="Bookman Old Style" w:hAnsi="Bookman Old Style" w:cs="Times New Roman"/>
                </w:rPr>
                <w:t>etienne.pfister@autoritedelaconcurrence.fr</w:t>
              </w:r>
            </w:hyperlink>
          </w:p>
          <w:p w:rsidR="00B91A93" w:rsidRDefault="00B91A93" w:rsidP="003057D5">
            <w:pPr>
              <w:rPr>
                <w:rFonts w:ascii="Bookman Old Style" w:hAnsi="Bookman Old Style"/>
              </w:rPr>
            </w:pPr>
          </w:p>
          <w:p w:rsidR="00B91A93" w:rsidRPr="004150B8" w:rsidRDefault="005A4CF2" w:rsidP="003057D5">
            <w:pPr>
              <w:rPr>
                <w:rFonts w:ascii="Bookman Old Style" w:hAnsi="Bookman Old Style" w:cs="Times New Roman"/>
              </w:rPr>
            </w:pPr>
            <w:hyperlink r:id="rId40" w:history="1">
              <w:r w:rsidR="00B91A93" w:rsidRPr="004150B8">
                <w:rPr>
                  <w:rStyle w:val="Lienhypertexte"/>
                  <w:rFonts w:ascii="Bookman Old Style" w:hAnsi="Bookman Old Style"/>
                </w:rPr>
                <w:t>http://www.concurrences.com/auteur/Etienne-Pfister?lang=en</w:t>
              </w:r>
            </w:hyperlink>
          </w:p>
        </w:tc>
      </w:tr>
      <w:tr w:rsidR="00B91A93" w:rsidRPr="004150B8" w:rsidTr="00231A20">
        <w:tc>
          <w:tcPr>
            <w:tcW w:w="2518"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Perrot Anne</w:t>
            </w:r>
          </w:p>
        </w:tc>
        <w:tc>
          <w:tcPr>
            <w:tcW w:w="1701"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Cabinet MAPP</w:t>
            </w:r>
          </w:p>
        </w:tc>
        <w:tc>
          <w:tcPr>
            <w:tcW w:w="5069" w:type="dxa"/>
          </w:tcPr>
          <w:p w:rsidR="00B91A93" w:rsidRDefault="005A4CF2" w:rsidP="003057D5">
            <w:pPr>
              <w:rPr>
                <w:rFonts w:ascii="Bookman Old Style" w:hAnsi="Bookman Old Style"/>
              </w:rPr>
            </w:pPr>
            <w:hyperlink r:id="rId41" w:history="1">
              <w:r w:rsidR="00B91A93" w:rsidRPr="004150B8">
                <w:rPr>
                  <w:rStyle w:val="Lienhypertexte"/>
                  <w:rFonts w:ascii="Bookman Old Style" w:hAnsi="Bookman Old Style" w:cs="Times New Roman"/>
                </w:rPr>
                <w:t>aperrot@mapp.economics.com</w:t>
              </w:r>
            </w:hyperlink>
          </w:p>
          <w:p w:rsidR="00B91A93" w:rsidRDefault="00B91A93" w:rsidP="003057D5">
            <w:pPr>
              <w:rPr>
                <w:rFonts w:ascii="Bookman Old Style" w:hAnsi="Bookman Old Style"/>
              </w:rPr>
            </w:pPr>
          </w:p>
          <w:p w:rsidR="00B91A93" w:rsidRPr="004150B8" w:rsidRDefault="005A4CF2" w:rsidP="00B91A93">
            <w:pPr>
              <w:rPr>
                <w:rFonts w:ascii="Bookman Old Style" w:hAnsi="Bookman Old Style" w:cs="Times New Roman"/>
              </w:rPr>
            </w:pPr>
            <w:hyperlink r:id="rId42" w:history="1">
              <w:r w:rsidR="00B91A93" w:rsidRPr="004150B8">
                <w:rPr>
                  <w:rStyle w:val="Lienhypertexte"/>
                  <w:rFonts w:ascii="Bookman Old Style" w:hAnsi="Bookman Old Style"/>
                </w:rPr>
                <w:t>http://www.lecercledeseconomistes.asso.fr/perrot</w:t>
              </w:r>
            </w:hyperlink>
          </w:p>
        </w:tc>
      </w:tr>
      <w:tr w:rsidR="00B91A93" w:rsidRPr="00A24970" w:rsidTr="00231A20">
        <w:tc>
          <w:tcPr>
            <w:tcW w:w="2518"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Petit Nicolas</w:t>
            </w:r>
          </w:p>
        </w:tc>
        <w:tc>
          <w:tcPr>
            <w:tcW w:w="1701" w:type="dxa"/>
          </w:tcPr>
          <w:p w:rsidR="00B91A93" w:rsidRPr="004150B8" w:rsidRDefault="00B91A93" w:rsidP="003057D5">
            <w:pPr>
              <w:rPr>
                <w:rFonts w:ascii="Bookman Old Style" w:hAnsi="Bookman Old Style" w:cs="Times New Roman"/>
                <w:lang w:val="en-US"/>
              </w:rPr>
            </w:pPr>
            <w:r w:rsidRPr="004150B8">
              <w:rPr>
                <w:rFonts w:ascii="Bookman Old Style" w:hAnsi="Bookman Old Style" w:cs="Times New Roman"/>
                <w:lang w:val="en-US"/>
              </w:rPr>
              <w:t>Global Competition Law Center, College of Europe</w:t>
            </w:r>
          </w:p>
        </w:tc>
        <w:tc>
          <w:tcPr>
            <w:tcW w:w="5069" w:type="dxa"/>
          </w:tcPr>
          <w:p w:rsidR="00B91A93" w:rsidRPr="003979F5" w:rsidRDefault="005A4CF2" w:rsidP="003057D5">
            <w:pPr>
              <w:rPr>
                <w:rFonts w:ascii="Bookman Old Style" w:hAnsi="Bookman Old Style"/>
                <w:lang w:val="en-US"/>
              </w:rPr>
            </w:pPr>
            <w:hyperlink r:id="rId43" w:history="1">
              <w:r w:rsidR="00B91A93" w:rsidRPr="004150B8">
                <w:rPr>
                  <w:rStyle w:val="Lienhypertexte"/>
                  <w:rFonts w:ascii="Bookman Old Style" w:hAnsi="Bookman Old Style" w:cs="Times New Roman"/>
                  <w:lang w:val="en-US"/>
                </w:rPr>
                <w:t>nicolas.petit@ulg.ac.be</w:t>
              </w:r>
            </w:hyperlink>
          </w:p>
          <w:p w:rsidR="00B91A93" w:rsidRPr="003979F5" w:rsidRDefault="00B91A93" w:rsidP="003057D5">
            <w:pPr>
              <w:rPr>
                <w:rFonts w:ascii="Bookman Old Style" w:hAnsi="Bookman Old Style"/>
                <w:lang w:val="en-US"/>
              </w:rPr>
            </w:pPr>
          </w:p>
          <w:p w:rsidR="00B91A93" w:rsidRPr="004150B8" w:rsidRDefault="005A4CF2" w:rsidP="003057D5">
            <w:pPr>
              <w:rPr>
                <w:rFonts w:ascii="Bookman Old Style" w:hAnsi="Bookman Old Style" w:cs="Times New Roman"/>
                <w:lang w:val="en-US"/>
              </w:rPr>
            </w:pPr>
            <w:hyperlink r:id="rId44" w:history="1">
              <w:r w:rsidR="00B91A93" w:rsidRPr="003979F5">
                <w:rPr>
                  <w:rStyle w:val="Lienhypertexte"/>
                  <w:rFonts w:ascii="Bookman Old Style" w:hAnsi="Bookman Old Style"/>
                  <w:lang w:val="en-US"/>
                </w:rPr>
                <w:t>http://www.ieje.net/</w:t>
              </w:r>
            </w:hyperlink>
          </w:p>
        </w:tc>
      </w:tr>
      <w:tr w:rsidR="00B91A93" w:rsidRPr="004150B8" w:rsidTr="00231A20">
        <w:tc>
          <w:tcPr>
            <w:tcW w:w="2518"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Sautel Olivier</w:t>
            </w:r>
          </w:p>
        </w:tc>
        <w:tc>
          <w:tcPr>
            <w:tcW w:w="1701" w:type="dxa"/>
          </w:tcPr>
          <w:p w:rsidR="00B91A93" w:rsidRPr="004150B8" w:rsidRDefault="00B91A93" w:rsidP="003057D5">
            <w:pPr>
              <w:rPr>
                <w:rFonts w:ascii="Bookman Old Style" w:hAnsi="Bookman Old Style" w:cs="Times New Roman"/>
              </w:rPr>
            </w:pPr>
            <w:r w:rsidRPr="004150B8">
              <w:rPr>
                <w:rFonts w:ascii="Bookman Old Style" w:hAnsi="Bookman Old Style" w:cs="Times New Roman"/>
              </w:rPr>
              <w:t>Cabinet Microeconomix</w:t>
            </w:r>
          </w:p>
        </w:tc>
        <w:tc>
          <w:tcPr>
            <w:tcW w:w="5069" w:type="dxa"/>
          </w:tcPr>
          <w:p w:rsidR="00B91A93" w:rsidRDefault="005A4CF2" w:rsidP="003057D5">
            <w:pPr>
              <w:rPr>
                <w:rFonts w:ascii="Bookman Old Style" w:hAnsi="Bookman Old Style"/>
              </w:rPr>
            </w:pPr>
            <w:hyperlink r:id="rId45" w:history="1">
              <w:r w:rsidR="00B91A93" w:rsidRPr="004150B8">
                <w:rPr>
                  <w:rStyle w:val="Lienhypertexte"/>
                  <w:rFonts w:ascii="Bookman Old Style" w:hAnsi="Bookman Old Style" w:cs="Times New Roman"/>
                </w:rPr>
                <w:t>olivier.sautel@microeconomix.com</w:t>
              </w:r>
            </w:hyperlink>
          </w:p>
          <w:p w:rsidR="00B91A93" w:rsidRDefault="00B91A93" w:rsidP="003057D5">
            <w:pPr>
              <w:rPr>
                <w:rFonts w:ascii="Bookman Old Style" w:hAnsi="Bookman Old Style"/>
              </w:rPr>
            </w:pPr>
          </w:p>
          <w:p w:rsidR="00B91A93" w:rsidRPr="004150B8" w:rsidRDefault="005A4CF2" w:rsidP="003057D5">
            <w:pPr>
              <w:rPr>
                <w:rFonts w:ascii="Bookman Old Style" w:hAnsi="Bookman Old Style" w:cs="Times New Roman"/>
              </w:rPr>
            </w:pPr>
            <w:hyperlink r:id="rId46" w:history="1">
              <w:r w:rsidR="00B91A93" w:rsidRPr="004150B8">
                <w:rPr>
                  <w:rStyle w:val="Lienhypertexte"/>
                  <w:rFonts w:ascii="Bookman Old Style" w:hAnsi="Bookman Old Style"/>
                </w:rPr>
                <w:t>http://www.microeconomix.fr/l-equipe</w:t>
              </w:r>
            </w:hyperlink>
          </w:p>
        </w:tc>
      </w:tr>
    </w:tbl>
    <w:p w:rsidR="00B91A93" w:rsidRPr="004150B8" w:rsidRDefault="00B91A93" w:rsidP="00B91A93">
      <w:pPr>
        <w:rPr>
          <w:rFonts w:ascii="Bookman Old Style" w:hAnsi="Bookman Old Style"/>
        </w:rPr>
      </w:pPr>
    </w:p>
    <w:p w:rsidR="002C0CB4" w:rsidRDefault="002C0CB4">
      <w:pPr>
        <w:rPr>
          <w:rFonts w:ascii="Times New Roman" w:hAnsi="Times New Roman" w:cs="Times New Roman"/>
        </w:rPr>
      </w:pPr>
      <w:r>
        <w:rPr>
          <w:rFonts w:ascii="Times New Roman" w:hAnsi="Times New Roman" w:cs="Times New Roman"/>
        </w:rPr>
        <w:br w:type="page"/>
      </w:r>
    </w:p>
    <w:p w:rsidR="00762B04" w:rsidRDefault="00762B04" w:rsidP="002C0CB4">
      <w:pPr>
        <w:rPr>
          <w:rFonts w:ascii="Bookman Old Style" w:hAnsi="Bookman Old Style"/>
        </w:rPr>
      </w:pPr>
    </w:p>
    <w:p w:rsidR="00762B04" w:rsidRDefault="00762B04" w:rsidP="000343FC">
      <w:pPr>
        <w:jc w:val="center"/>
        <w:rPr>
          <w:rFonts w:ascii="Bookman Old Style" w:hAnsi="Bookman Old Style"/>
        </w:rPr>
      </w:pPr>
    </w:p>
    <w:p w:rsidR="00762B04" w:rsidRDefault="00762B04" w:rsidP="000343FC">
      <w:pPr>
        <w:jc w:val="center"/>
        <w:rPr>
          <w:rFonts w:ascii="Bookman Old Style" w:hAnsi="Bookman Old Style"/>
        </w:rPr>
      </w:pPr>
    </w:p>
    <w:p w:rsidR="00762B04" w:rsidRDefault="00762B04" w:rsidP="000343FC">
      <w:pPr>
        <w:jc w:val="center"/>
        <w:rPr>
          <w:rFonts w:ascii="Bookman Old Style" w:hAnsi="Bookman Old Style"/>
        </w:rPr>
      </w:pPr>
    </w:p>
    <w:p w:rsidR="00762B04" w:rsidRDefault="00762B04" w:rsidP="000343FC">
      <w:pPr>
        <w:jc w:val="center"/>
        <w:rPr>
          <w:rFonts w:ascii="Bookman Old Style" w:hAnsi="Bookman Old Style"/>
        </w:rPr>
      </w:pPr>
    </w:p>
    <w:p w:rsidR="00762B04" w:rsidRDefault="00762B04" w:rsidP="000343FC">
      <w:pPr>
        <w:jc w:val="center"/>
        <w:rPr>
          <w:rFonts w:ascii="Bookman Old Style" w:hAnsi="Bookman Old Style"/>
        </w:rPr>
      </w:pPr>
    </w:p>
    <w:p w:rsidR="00762B04" w:rsidRDefault="00762B04" w:rsidP="000343FC">
      <w:pPr>
        <w:jc w:val="center"/>
        <w:rPr>
          <w:rFonts w:ascii="Bookman Old Style" w:hAnsi="Bookman Old Style"/>
        </w:rPr>
      </w:pPr>
    </w:p>
    <w:p w:rsidR="00762B04" w:rsidRDefault="00762B04" w:rsidP="000343FC">
      <w:pPr>
        <w:jc w:val="center"/>
        <w:rPr>
          <w:rFonts w:ascii="Bookman Old Style" w:hAnsi="Bookman Old Style"/>
        </w:rPr>
      </w:pPr>
    </w:p>
    <w:p w:rsidR="00762B04" w:rsidRDefault="00762B04" w:rsidP="000343FC">
      <w:pPr>
        <w:jc w:val="center"/>
        <w:rPr>
          <w:rFonts w:ascii="Bookman Old Style" w:hAnsi="Bookman Old Style"/>
        </w:rPr>
      </w:pPr>
    </w:p>
    <w:p w:rsidR="00762B04" w:rsidRDefault="00762B04" w:rsidP="000343FC">
      <w:pPr>
        <w:jc w:val="center"/>
        <w:rPr>
          <w:rFonts w:ascii="Bookman Old Style" w:hAnsi="Bookman Old Style"/>
        </w:rPr>
      </w:pPr>
    </w:p>
    <w:p w:rsidR="00762B04" w:rsidRDefault="00762B04" w:rsidP="000343FC">
      <w:pPr>
        <w:jc w:val="center"/>
        <w:rPr>
          <w:rFonts w:ascii="Bookman Old Style" w:hAnsi="Bookman Old Style"/>
        </w:rPr>
      </w:pPr>
    </w:p>
    <w:p w:rsidR="00762B04" w:rsidRDefault="00762B04" w:rsidP="000343FC">
      <w:pPr>
        <w:jc w:val="center"/>
        <w:rPr>
          <w:rFonts w:ascii="Bookman Old Style" w:hAnsi="Bookman Old Style"/>
        </w:rPr>
      </w:pPr>
    </w:p>
    <w:p w:rsidR="000343FC" w:rsidRPr="00762B04" w:rsidRDefault="00070E5D" w:rsidP="000343FC">
      <w:pPr>
        <w:jc w:val="center"/>
        <w:rPr>
          <w:rFonts w:ascii="Bookman Old Style" w:hAnsi="Bookman Old Style"/>
          <w:b/>
          <w:sz w:val="72"/>
          <w:szCs w:val="72"/>
        </w:rPr>
      </w:pPr>
      <w:r>
        <w:rPr>
          <w:rFonts w:ascii="Bookman Old Style" w:hAnsi="Bookman Old Style"/>
          <w:b/>
          <w:sz w:val="72"/>
          <w:szCs w:val="72"/>
        </w:rPr>
        <w:t xml:space="preserve">7. </w:t>
      </w:r>
      <w:r w:rsidR="000343FC" w:rsidRPr="00762B04">
        <w:rPr>
          <w:rFonts w:ascii="Bookman Old Style" w:hAnsi="Bookman Old Style"/>
          <w:b/>
          <w:sz w:val="72"/>
          <w:szCs w:val="72"/>
        </w:rPr>
        <w:t>Plans de cours</w:t>
      </w:r>
    </w:p>
    <w:p w:rsidR="00296BB1" w:rsidRDefault="00E43A9A">
      <w:pPr>
        <w:rPr>
          <w:rFonts w:ascii="Bookman Old Style" w:hAnsi="Bookman Old Style"/>
        </w:rPr>
      </w:pPr>
      <w:r>
        <w:rPr>
          <w:rFonts w:ascii="Bookman Old Style" w:hAnsi="Bookman Old Style"/>
        </w:rPr>
        <w:br w:type="page"/>
      </w:r>
    </w:p>
    <w:p w:rsidR="00E43A9A" w:rsidRPr="00E43A9A" w:rsidRDefault="00E43A9A" w:rsidP="00E84A44">
      <w:pPr>
        <w:pStyle w:val="Titre3"/>
        <w:ind w:right="0"/>
        <w:jc w:val="center"/>
        <w:rPr>
          <w:rFonts w:ascii="Bookman Old Style" w:hAnsi="Bookman Old Style"/>
          <w:b/>
          <w:sz w:val="22"/>
          <w:szCs w:val="22"/>
        </w:rPr>
      </w:pPr>
      <w:r w:rsidRPr="00E43A9A">
        <w:rPr>
          <w:rFonts w:ascii="Bookman Old Style" w:hAnsi="Bookman Old Style"/>
          <w:b/>
          <w:sz w:val="22"/>
          <w:szCs w:val="22"/>
        </w:rPr>
        <w:lastRenderedPageBreak/>
        <w:t>Economie des litiges et de la justice</w:t>
      </w:r>
    </w:p>
    <w:p w:rsidR="00D56390" w:rsidRDefault="003F707B" w:rsidP="00E84A44">
      <w:pPr>
        <w:pStyle w:val="Titre3"/>
        <w:ind w:right="0"/>
        <w:jc w:val="center"/>
        <w:rPr>
          <w:rFonts w:ascii="Bookman Old Style" w:hAnsi="Bookman Old Style"/>
          <w:b/>
          <w:sz w:val="22"/>
          <w:szCs w:val="22"/>
        </w:rPr>
      </w:pPr>
      <w:r>
        <w:rPr>
          <w:rFonts w:ascii="Bookman Old Style" w:hAnsi="Bookman Old Style"/>
          <w:b/>
          <w:sz w:val="22"/>
          <w:szCs w:val="22"/>
        </w:rPr>
        <w:t>+</w:t>
      </w:r>
      <w:r w:rsidR="00E43A9A" w:rsidRPr="00E43A9A">
        <w:rPr>
          <w:rFonts w:ascii="Bookman Old Style" w:hAnsi="Bookman Old Style"/>
          <w:b/>
          <w:sz w:val="22"/>
          <w:szCs w:val="22"/>
        </w:rPr>
        <w:t xml:space="preserve"> Economie d</w:t>
      </w:r>
      <w:r w:rsidR="00E43A9A">
        <w:rPr>
          <w:rFonts w:ascii="Bookman Old Style" w:hAnsi="Bookman Old Style"/>
          <w:b/>
          <w:sz w:val="22"/>
          <w:szCs w:val="22"/>
        </w:rPr>
        <w:t>e la responsabilité civile et pénale</w:t>
      </w:r>
    </w:p>
    <w:p w:rsidR="00296BB1" w:rsidRPr="00191507" w:rsidRDefault="00E43A9A" w:rsidP="00E84A44">
      <w:pPr>
        <w:spacing w:after="0"/>
        <w:jc w:val="center"/>
        <w:rPr>
          <w:rFonts w:ascii="Times New Roman" w:hAnsi="Times New Roman" w:cs="Times New Roman"/>
          <w:sz w:val="24"/>
          <w:szCs w:val="24"/>
        </w:rPr>
      </w:pPr>
      <w:r w:rsidRPr="00E43A9A">
        <w:rPr>
          <w:rFonts w:ascii="Bookman Old Style" w:hAnsi="Bookman Old Style"/>
          <w:b/>
        </w:rPr>
        <w:t>M. LANGLAI</w:t>
      </w:r>
      <w:r w:rsidR="00296BB1">
        <w:rPr>
          <w:rFonts w:ascii="Bookman Old Style" w:hAnsi="Bookman Old Style"/>
          <w:b/>
        </w:rPr>
        <w:t>S</w:t>
      </w:r>
    </w:p>
    <w:p w:rsidR="00E43A9A" w:rsidRPr="00E43A9A" w:rsidRDefault="00E43A9A" w:rsidP="00E43A9A">
      <w:pPr>
        <w:jc w:val="both"/>
        <w:rPr>
          <w:rFonts w:ascii="Bookman Old Style" w:hAnsi="Bookman Old Style"/>
          <w:color w:val="003300"/>
        </w:rPr>
      </w:pPr>
    </w:p>
    <w:p w:rsidR="00E43A9A" w:rsidRPr="00E43A9A" w:rsidRDefault="00E43A9A" w:rsidP="00E43A9A">
      <w:pPr>
        <w:jc w:val="both"/>
        <w:rPr>
          <w:rFonts w:ascii="Bookman Old Style" w:hAnsi="Bookman Old Style"/>
          <w:i/>
          <w:iCs/>
        </w:rPr>
      </w:pPr>
      <w:r w:rsidRPr="00E43A9A">
        <w:rPr>
          <w:rFonts w:ascii="Bookman Old Style" w:hAnsi="Bookman Old Style"/>
          <w:b/>
          <w:bCs/>
        </w:rPr>
        <w:t>Objectif du cours.</w:t>
      </w:r>
      <w:r w:rsidRPr="00E43A9A">
        <w:rPr>
          <w:rFonts w:ascii="Bookman Old Style" w:hAnsi="Bookman Old Style"/>
        </w:rPr>
        <w:t xml:space="preserve"> Le cours aborde trois grands domaines de l’analyse économique du droit : l’économie des litiges et de la justice, l’économie de la responsabilité civile, et l’économie de la </w:t>
      </w:r>
      <w:r w:rsidR="007A1B63">
        <w:rPr>
          <w:rFonts w:ascii="Bookman Old Style" w:hAnsi="Bookman Old Style"/>
        </w:rPr>
        <w:t>responsabilité pénale</w:t>
      </w:r>
      <w:r w:rsidRPr="00E43A9A">
        <w:rPr>
          <w:rFonts w:ascii="Bookman Old Style" w:hAnsi="Bookman Old Style"/>
        </w:rPr>
        <w:t xml:space="preserve">. On présente « l’état de l’art » de la littérature (résultats fondamentaux), puis on développe certains thèmes plus spécifiques et/ou faisant l’objet de recherches plus récentes. </w:t>
      </w:r>
    </w:p>
    <w:p w:rsidR="00E43A9A" w:rsidRPr="00E43A9A" w:rsidRDefault="00E43A9A" w:rsidP="00E43A9A">
      <w:pPr>
        <w:jc w:val="both"/>
        <w:rPr>
          <w:rFonts w:ascii="Bookman Old Style" w:hAnsi="Bookman Old Style"/>
          <w:u w:val="single"/>
        </w:rPr>
      </w:pPr>
      <w:r w:rsidRPr="00E43A9A">
        <w:rPr>
          <w:rFonts w:ascii="Bookman Old Style" w:hAnsi="Bookman Old Style"/>
          <w:u w:val="single"/>
        </w:rPr>
        <w:t>Economie des Litiges et de la Justice</w:t>
      </w:r>
    </w:p>
    <w:p w:rsidR="00E43A9A" w:rsidRPr="00E43A9A" w:rsidRDefault="00E43A9A" w:rsidP="00E43A9A">
      <w:pPr>
        <w:jc w:val="both"/>
        <w:rPr>
          <w:rFonts w:ascii="Bookman Old Style" w:hAnsi="Bookman Old Style"/>
        </w:rPr>
      </w:pPr>
      <w:r w:rsidRPr="00E43A9A">
        <w:rPr>
          <w:rFonts w:ascii="Bookman Old Style" w:hAnsi="Bookman Old Style"/>
          <w:b/>
        </w:rPr>
        <w:t>Fondamentaux :</w:t>
      </w:r>
      <w:r w:rsidRPr="00E43A9A">
        <w:rPr>
          <w:rFonts w:ascii="Bookman Old Style" w:hAnsi="Bookman Old Style"/>
        </w:rPr>
        <w:t xml:space="preserve"> La problématique de l’accès à la justice (incitations, valeur sociale </w:t>
      </w:r>
      <w:r w:rsidRPr="00E43A9A">
        <w:rPr>
          <w:rFonts w:ascii="Bookman Old Style" w:hAnsi="Bookman Old Style"/>
          <w:i/>
        </w:rPr>
        <w:t>versus</w:t>
      </w:r>
      <w:r w:rsidRPr="00E43A9A">
        <w:rPr>
          <w:rFonts w:ascii="Bookman Old Style" w:hAnsi="Bookman Old Style"/>
        </w:rPr>
        <w:t xml:space="preserve"> valeur privée). L’analyse économique des litiges : information complète (négociations, utilisation stratégique des coûts légaux, comportements de </w:t>
      </w:r>
      <w:r w:rsidRPr="00E43A9A">
        <w:rPr>
          <w:rFonts w:ascii="Bookman Old Style" w:hAnsi="Bookman Old Style"/>
          <w:i/>
        </w:rPr>
        <w:t>rent seeking</w:t>
      </w:r>
      <w:r w:rsidRPr="00E43A9A">
        <w:rPr>
          <w:rFonts w:ascii="Bookman Old Style" w:hAnsi="Bookman Old Style"/>
        </w:rPr>
        <w:t>). L’analyse économique des litiges : information incomplète (analyse optimiste, analyse stratégique). La régulation économique de l’accès à la justice (régulation par les coûts, découplage, l’offre alternative de justice). Aspects empiriques.</w:t>
      </w:r>
    </w:p>
    <w:p w:rsidR="00E43A9A" w:rsidRPr="00AE4E48" w:rsidRDefault="00AE4E48" w:rsidP="00E43A9A">
      <w:pPr>
        <w:jc w:val="both"/>
        <w:rPr>
          <w:rFonts w:ascii="Bookman Old Style" w:hAnsi="Bookman Old Style"/>
          <w:b/>
        </w:rPr>
      </w:pPr>
      <w:r w:rsidRPr="00AE4E48">
        <w:rPr>
          <w:rFonts w:ascii="Bookman Old Style" w:hAnsi="Bookman Old Style"/>
          <w:b/>
        </w:rPr>
        <w:t>Contrôle des connaissances : examen écrit.</w:t>
      </w:r>
    </w:p>
    <w:p w:rsidR="00923C13" w:rsidRDefault="00923C13" w:rsidP="00E43A9A">
      <w:pPr>
        <w:jc w:val="both"/>
        <w:rPr>
          <w:rFonts w:ascii="Bookman Old Style" w:hAnsi="Bookman Old Style"/>
          <w:u w:val="single"/>
        </w:rPr>
      </w:pPr>
    </w:p>
    <w:p w:rsidR="00E43A9A" w:rsidRPr="00E43A9A" w:rsidRDefault="00E43A9A" w:rsidP="00E43A9A">
      <w:pPr>
        <w:jc w:val="both"/>
        <w:rPr>
          <w:rFonts w:ascii="Bookman Old Style" w:hAnsi="Bookman Old Style"/>
          <w:u w:val="single"/>
        </w:rPr>
      </w:pPr>
      <w:r w:rsidRPr="00E43A9A">
        <w:rPr>
          <w:rFonts w:ascii="Bookman Old Style" w:hAnsi="Bookman Old Style"/>
          <w:u w:val="single"/>
        </w:rPr>
        <w:t>Econ</w:t>
      </w:r>
      <w:r w:rsidR="004E0E54">
        <w:rPr>
          <w:rFonts w:ascii="Bookman Old Style" w:hAnsi="Bookman Old Style"/>
          <w:u w:val="single"/>
        </w:rPr>
        <w:t>omie de la responsabilité civile</w:t>
      </w:r>
    </w:p>
    <w:p w:rsidR="00E43A9A" w:rsidRPr="00E43A9A" w:rsidRDefault="00E43A9A" w:rsidP="00E43A9A">
      <w:pPr>
        <w:jc w:val="both"/>
        <w:rPr>
          <w:rFonts w:ascii="Bookman Old Style" w:hAnsi="Bookman Old Style"/>
        </w:rPr>
      </w:pPr>
      <w:r w:rsidRPr="00E43A9A">
        <w:rPr>
          <w:rFonts w:ascii="Bookman Old Style" w:hAnsi="Bookman Old Style"/>
          <w:b/>
        </w:rPr>
        <w:t>Fondamentaux :</w:t>
      </w:r>
      <w:r w:rsidRPr="00E43A9A">
        <w:rPr>
          <w:rFonts w:ascii="Bookman Old Style" w:hAnsi="Bookman Old Style"/>
        </w:rPr>
        <w:t xml:space="preserve"> Le droit des accidents dans l’analyse économique (la classification de Calabresi, le débat sur l’efficacité du droit). Accident unilatéral (principe de séparation incitations/compensation, activité endogène). Accident multilatéral (décisions simultanées, décisions séquentielles).  Contrôle des risques et responsabilité civile : limites (problème du</w:t>
      </w:r>
      <w:r w:rsidRPr="00E43A9A">
        <w:rPr>
          <w:rFonts w:ascii="Bookman Old Style" w:hAnsi="Bookman Old Style"/>
          <w:i/>
        </w:rPr>
        <w:t xml:space="preserve"> judgment proof</w:t>
      </w:r>
      <w:r w:rsidRPr="00E43A9A">
        <w:rPr>
          <w:rFonts w:ascii="Bookman Old Style" w:hAnsi="Bookman Old Style"/>
        </w:rPr>
        <w:t xml:space="preserve">, </w:t>
      </w:r>
      <w:r w:rsidRPr="00E43A9A">
        <w:rPr>
          <w:rFonts w:ascii="Bookman Old Style" w:hAnsi="Bookman Old Style"/>
          <w:i/>
        </w:rPr>
        <w:t>disapearing defendant</w:t>
      </w:r>
      <w:r w:rsidRPr="00E43A9A">
        <w:rPr>
          <w:rFonts w:ascii="Bookman Old Style" w:hAnsi="Bookman Old Style"/>
        </w:rPr>
        <w:t xml:space="preserve">, responsabilité étendue, les grands risques, responsabilité </w:t>
      </w:r>
      <w:r w:rsidRPr="00E43A9A">
        <w:rPr>
          <w:rFonts w:ascii="Bookman Old Style" w:hAnsi="Bookman Old Style"/>
          <w:i/>
        </w:rPr>
        <w:t>ex post versus</w:t>
      </w:r>
      <w:r w:rsidRPr="00E43A9A">
        <w:rPr>
          <w:rFonts w:ascii="Bookman Old Style" w:hAnsi="Bookman Old Style"/>
        </w:rPr>
        <w:t xml:space="preserve"> régulation </w:t>
      </w:r>
      <w:r w:rsidRPr="00E43A9A">
        <w:rPr>
          <w:rFonts w:ascii="Bookman Old Style" w:hAnsi="Bookman Old Style"/>
          <w:i/>
        </w:rPr>
        <w:t>ex ante</w:t>
      </w:r>
      <w:r w:rsidRPr="00E43A9A">
        <w:rPr>
          <w:rFonts w:ascii="Bookman Old Style" w:hAnsi="Bookman Old Style"/>
        </w:rPr>
        <w:t>). Aspects empiriques.</w:t>
      </w:r>
    </w:p>
    <w:p w:rsidR="00E43A9A" w:rsidRPr="00E43A9A" w:rsidRDefault="00E43A9A" w:rsidP="00E43A9A">
      <w:pPr>
        <w:jc w:val="both"/>
        <w:rPr>
          <w:rFonts w:ascii="Bookman Old Style" w:hAnsi="Bookman Old Style"/>
          <w:u w:val="single"/>
        </w:rPr>
      </w:pPr>
      <w:r w:rsidRPr="00E43A9A">
        <w:rPr>
          <w:rFonts w:ascii="Bookman Old Style" w:hAnsi="Bookman Old Style"/>
          <w:u w:val="single"/>
        </w:rPr>
        <w:t xml:space="preserve">Economie de la </w:t>
      </w:r>
      <w:r>
        <w:rPr>
          <w:rFonts w:ascii="Bookman Old Style" w:hAnsi="Bookman Old Style"/>
          <w:u w:val="single"/>
        </w:rPr>
        <w:t>responsabilité pénale</w:t>
      </w:r>
    </w:p>
    <w:p w:rsidR="00E43A9A" w:rsidRDefault="00E43A9A" w:rsidP="00E43A9A">
      <w:pPr>
        <w:jc w:val="both"/>
        <w:rPr>
          <w:rFonts w:ascii="Bookman Old Style" w:hAnsi="Bookman Old Style"/>
        </w:rPr>
      </w:pPr>
      <w:r w:rsidRPr="00E43A9A">
        <w:rPr>
          <w:rFonts w:ascii="Bookman Old Style" w:hAnsi="Bookman Old Style"/>
          <w:b/>
        </w:rPr>
        <w:t xml:space="preserve">Fondamentaux : </w:t>
      </w:r>
      <w:r w:rsidRPr="00E43A9A">
        <w:rPr>
          <w:rFonts w:ascii="Bookman Old Style" w:hAnsi="Bookman Old Style"/>
        </w:rPr>
        <w:t xml:space="preserve">Spécificités du droit pénal (crime </w:t>
      </w:r>
      <w:r w:rsidRPr="00E43A9A">
        <w:rPr>
          <w:rFonts w:ascii="Bookman Old Style" w:hAnsi="Bookman Old Style"/>
          <w:i/>
        </w:rPr>
        <w:t>versus</w:t>
      </w:r>
      <w:r w:rsidRPr="00E43A9A">
        <w:rPr>
          <w:rFonts w:ascii="Bookman Old Style" w:hAnsi="Bookman Old Style"/>
        </w:rPr>
        <w:t xml:space="preserve"> accident, fonctions du droit pénal). Analyse économique et crime individuel (principe </w:t>
      </w:r>
      <w:r w:rsidRPr="00E43A9A">
        <w:rPr>
          <w:rFonts w:ascii="Bookman Old Style" w:hAnsi="Bookman Old Style"/>
          <w:i/>
        </w:rPr>
        <w:t>beckerien</w:t>
      </w:r>
      <w:r w:rsidRPr="00E43A9A">
        <w:rPr>
          <w:rFonts w:ascii="Bookman Old Style" w:hAnsi="Bookman Old Style"/>
        </w:rPr>
        <w:t xml:space="preserve"> des sanctions maximales, extensions). Organisations criminelles (</w:t>
      </w:r>
      <w:r w:rsidRPr="00E43A9A">
        <w:rPr>
          <w:rFonts w:ascii="Bookman Old Style" w:hAnsi="Bookman Old Style"/>
          <w:i/>
        </w:rPr>
        <w:t>corporate criminality</w:t>
      </w:r>
      <w:r w:rsidRPr="00E43A9A">
        <w:rPr>
          <w:rFonts w:ascii="Bookman Old Style" w:hAnsi="Bookman Old Style"/>
        </w:rPr>
        <w:t>, gangs et maffias, corruption). Aspects empiriques.</w:t>
      </w:r>
    </w:p>
    <w:p w:rsidR="004E0E54" w:rsidRPr="00E43A9A" w:rsidRDefault="004E0E54" w:rsidP="00E43A9A">
      <w:pPr>
        <w:jc w:val="both"/>
        <w:rPr>
          <w:rFonts w:ascii="Bookman Old Style" w:hAnsi="Bookman Old Style"/>
        </w:rPr>
      </w:pPr>
    </w:p>
    <w:p w:rsidR="00E43A9A" w:rsidRPr="00E43A9A" w:rsidRDefault="00923C13" w:rsidP="00E43A9A">
      <w:pPr>
        <w:jc w:val="both"/>
        <w:rPr>
          <w:rFonts w:ascii="Bookman Old Style" w:hAnsi="Bookman Old Style"/>
          <w:b/>
        </w:rPr>
      </w:pPr>
      <w:r w:rsidRPr="00AE4E48">
        <w:rPr>
          <w:rFonts w:ascii="Bookman Old Style" w:hAnsi="Bookman Old Style"/>
          <w:b/>
        </w:rPr>
        <w:t>Contrôle des connaissances : examen écrit.</w:t>
      </w:r>
    </w:p>
    <w:p w:rsidR="00D527A7" w:rsidRPr="00A24970" w:rsidRDefault="008C72A6" w:rsidP="00923C13">
      <w:pPr>
        <w:jc w:val="center"/>
        <w:rPr>
          <w:rFonts w:ascii="Bookman Old Style" w:hAnsi="Bookman Old Style"/>
          <w:b/>
        </w:rPr>
      </w:pPr>
      <w:r>
        <w:rPr>
          <w:rFonts w:ascii="Bookman Old Style" w:hAnsi="Bookman Old Style"/>
        </w:rPr>
        <w:br w:type="page"/>
      </w:r>
    </w:p>
    <w:p w:rsidR="00D527A7" w:rsidRPr="00D527A7" w:rsidRDefault="00D527A7" w:rsidP="00D527A7">
      <w:pPr>
        <w:jc w:val="center"/>
        <w:rPr>
          <w:rFonts w:ascii="Bookman Old Style" w:hAnsi="Bookman Old Style"/>
          <w:b/>
          <w:color w:val="000000"/>
        </w:rPr>
      </w:pPr>
      <w:r w:rsidRPr="00D527A7">
        <w:rPr>
          <w:rFonts w:ascii="Bookman Old Style" w:hAnsi="Bookman Old Style"/>
          <w:b/>
          <w:color w:val="000000"/>
        </w:rPr>
        <w:lastRenderedPageBreak/>
        <w:t>Droit pénal des affaires</w:t>
      </w:r>
    </w:p>
    <w:p w:rsidR="00D527A7" w:rsidRPr="00D527A7" w:rsidRDefault="00D527A7" w:rsidP="00D527A7">
      <w:pPr>
        <w:jc w:val="center"/>
        <w:rPr>
          <w:rFonts w:ascii="Bookman Old Style" w:hAnsi="Bookman Old Style"/>
          <w:b/>
          <w:color w:val="000000"/>
        </w:rPr>
      </w:pPr>
      <w:r w:rsidRPr="00D527A7">
        <w:rPr>
          <w:rFonts w:ascii="Bookman Old Style" w:hAnsi="Bookman Old Style"/>
          <w:b/>
          <w:color w:val="000000"/>
        </w:rPr>
        <w:t>Mme M</w:t>
      </w:r>
      <w:r w:rsidR="007B4340">
        <w:rPr>
          <w:rFonts w:ascii="Bookman Old Style" w:hAnsi="Bookman Old Style"/>
          <w:b/>
          <w:color w:val="000000"/>
        </w:rPr>
        <w:t>ULLER</w:t>
      </w:r>
    </w:p>
    <w:p w:rsidR="00D527A7" w:rsidRDefault="00D527A7">
      <w:pPr>
        <w:rPr>
          <w:rFonts w:ascii="Bookman Old Style" w:hAnsi="Bookman Old Style"/>
          <w:color w:val="000000"/>
        </w:rPr>
      </w:pPr>
    </w:p>
    <w:p w:rsidR="009A2E00" w:rsidRPr="001E07C6" w:rsidRDefault="009A2E00" w:rsidP="009A2E00">
      <w:pPr>
        <w:spacing w:line="360" w:lineRule="auto"/>
        <w:ind w:hanging="720"/>
        <w:jc w:val="both"/>
        <w:rPr>
          <w:rFonts w:ascii="Bookman Old Style" w:eastAsia="Times New Roman" w:hAnsi="Bookman Old Style" w:cs="Times New Roman"/>
          <w:b/>
          <w:bCs/>
          <w:color w:val="000000"/>
          <w:u w:val="single"/>
          <w:lang w:eastAsia="fr-FR"/>
        </w:rPr>
      </w:pPr>
    </w:p>
    <w:p w:rsidR="009A2E00" w:rsidRPr="001E07C6" w:rsidRDefault="009A2E00" w:rsidP="00627E32">
      <w:pPr>
        <w:spacing w:line="360" w:lineRule="auto"/>
        <w:jc w:val="both"/>
        <w:rPr>
          <w:rFonts w:ascii="Bookman Old Style" w:eastAsia="Times New Roman" w:hAnsi="Bookman Old Style" w:cs="Times New Roman"/>
          <w:color w:val="000000"/>
          <w:u w:val="single"/>
          <w:lang w:eastAsia="fr-FR"/>
        </w:rPr>
      </w:pPr>
      <w:r w:rsidRPr="001E07C6">
        <w:rPr>
          <w:rFonts w:ascii="Bookman Old Style" w:eastAsia="Times New Roman" w:hAnsi="Bookman Old Style" w:cs="Times New Roman"/>
          <w:b/>
          <w:bCs/>
          <w:color w:val="000000"/>
          <w:u w:val="single"/>
          <w:lang w:eastAsia="fr-FR"/>
        </w:rPr>
        <w:t>Thème I.</w:t>
      </w:r>
      <w:r w:rsidRPr="001E07C6">
        <w:rPr>
          <w:rFonts w:ascii="Bookman Old Style" w:eastAsia="Times New Roman" w:hAnsi="Bookman Old Style" w:cs="Times New Roman"/>
          <w:color w:val="000000"/>
          <w:u w:val="single"/>
          <w:lang w:eastAsia="fr-FR"/>
        </w:rPr>
        <w:t>  </w:t>
      </w:r>
      <w:r w:rsidRPr="001E07C6">
        <w:rPr>
          <w:rFonts w:ascii="Bookman Old Style" w:eastAsia="Times New Roman" w:hAnsi="Bookman Old Style" w:cs="Times New Roman"/>
          <w:b/>
          <w:bCs/>
          <w:color w:val="000000"/>
          <w:u w:val="single"/>
          <w:lang w:eastAsia="fr-FR"/>
        </w:rPr>
        <w:t>Evolution des rapports du droit pénal et de l’économie</w:t>
      </w:r>
    </w:p>
    <w:p w:rsidR="009A2E00" w:rsidRPr="001E07C6" w:rsidRDefault="009A2E00" w:rsidP="009A2E00">
      <w:pPr>
        <w:spacing w:after="0" w:line="360" w:lineRule="auto"/>
        <w:jc w:val="both"/>
        <w:rPr>
          <w:rFonts w:ascii="Bookman Old Style" w:eastAsia="Times New Roman" w:hAnsi="Bookman Old Style" w:cs="Times New Roman"/>
          <w:color w:val="000000"/>
          <w:lang w:eastAsia="fr-FR"/>
        </w:rPr>
      </w:pPr>
      <w:r w:rsidRPr="001E07C6">
        <w:rPr>
          <w:rFonts w:ascii="Bookman Old Style" w:eastAsia="Times New Roman" w:hAnsi="Bookman Old Style" w:cs="Arial"/>
          <w:color w:val="000000"/>
          <w:lang w:eastAsia="fr-FR"/>
        </w:rPr>
        <w:t>→</w:t>
      </w:r>
      <w:r w:rsidRPr="001E07C6">
        <w:rPr>
          <w:rFonts w:ascii="Bookman Old Style" w:eastAsia="Times New Roman" w:hAnsi="Bookman Old Style" w:cs="Times New Roman"/>
          <w:color w:val="000000"/>
          <w:lang w:eastAsia="fr-FR"/>
        </w:rPr>
        <w:t> </w:t>
      </w:r>
      <w:r w:rsidRPr="001E07C6">
        <w:rPr>
          <w:rFonts w:ascii="Bookman Old Style" w:eastAsia="Times New Roman" w:hAnsi="Bookman Old Style" w:cs="Times New Roman"/>
          <w:iCs/>
          <w:color w:val="000000"/>
          <w:lang w:eastAsia="fr-FR"/>
        </w:rPr>
        <w:t>Le droit pénal et le capitalisme marchand :</w:t>
      </w:r>
      <w:r w:rsidRPr="001E07C6">
        <w:rPr>
          <w:rFonts w:ascii="Bookman Old Style" w:eastAsia="Times New Roman" w:hAnsi="Bookman Old Style" w:cs="Times New Roman"/>
          <w:color w:val="000000"/>
          <w:lang w:eastAsia="fr-FR"/>
        </w:rPr>
        <w:t xml:space="preserve"> développement du droit pénal des affaires au soutien de l’essor du  capitalisme marchand, banqueroute et transition vers le capitalisme (soutien du cr</w:t>
      </w:r>
      <w:r w:rsidRPr="001E07C6">
        <w:rPr>
          <w:rFonts w:ascii="Bookman Old Style" w:eastAsia="Times New Roman" w:hAnsi="Bookman Old Style" w:cs="Verdana"/>
          <w:color w:val="000000"/>
          <w:lang w:eastAsia="fr-FR"/>
        </w:rPr>
        <w:t>é</w:t>
      </w:r>
      <w:r w:rsidRPr="001E07C6">
        <w:rPr>
          <w:rFonts w:ascii="Bookman Old Style" w:eastAsia="Times New Roman" w:hAnsi="Bookman Old Style" w:cs="Times New Roman"/>
          <w:color w:val="000000"/>
          <w:lang w:eastAsia="fr-FR"/>
        </w:rPr>
        <w:t>dit et de la confiance; réf. Jacques Savary, </w:t>
      </w:r>
      <w:r w:rsidRPr="001E07C6">
        <w:rPr>
          <w:rFonts w:ascii="Bookman Old Style" w:eastAsia="Times New Roman" w:hAnsi="Bookman Old Style" w:cs="Times New Roman"/>
          <w:i/>
          <w:iCs/>
          <w:color w:val="000000"/>
          <w:lang w:eastAsia="fr-FR"/>
        </w:rPr>
        <w:t>Le Parfait Négociant ou Instruction Publique pour ce qui regarde le commerce</w:t>
      </w:r>
      <w:r w:rsidRPr="001E07C6">
        <w:rPr>
          <w:rFonts w:ascii="Bookman Old Style" w:eastAsia="Times New Roman" w:hAnsi="Bookman Old Style" w:cs="Times New Roman"/>
          <w:color w:val="000000"/>
          <w:lang w:eastAsia="fr-FR"/>
        </w:rPr>
        <w:t>. –</w:t>
      </w:r>
    </w:p>
    <w:p w:rsidR="009A2E00" w:rsidRPr="001E07C6" w:rsidRDefault="009A2E00" w:rsidP="009A2E00">
      <w:pPr>
        <w:spacing w:after="0" w:line="360" w:lineRule="auto"/>
        <w:jc w:val="both"/>
        <w:rPr>
          <w:rFonts w:ascii="Bookman Old Style" w:eastAsia="Times New Roman" w:hAnsi="Bookman Old Style" w:cs="Times New Roman"/>
          <w:color w:val="000000"/>
          <w:lang w:eastAsia="fr-FR"/>
        </w:rPr>
      </w:pPr>
    </w:p>
    <w:p w:rsidR="009A2E00" w:rsidRPr="001E07C6" w:rsidRDefault="009A2E00" w:rsidP="009A2E00">
      <w:pPr>
        <w:spacing w:after="0" w:line="360" w:lineRule="auto"/>
        <w:jc w:val="both"/>
        <w:rPr>
          <w:rFonts w:ascii="Bookman Old Style" w:eastAsia="Times New Roman" w:hAnsi="Bookman Old Style" w:cs="Times New Roman"/>
          <w:color w:val="000000"/>
          <w:lang w:eastAsia="fr-FR"/>
        </w:rPr>
      </w:pPr>
      <w:r w:rsidRPr="001E07C6">
        <w:rPr>
          <w:rFonts w:ascii="Bookman Old Style" w:eastAsia="Times New Roman" w:hAnsi="Bookman Old Style" w:cs="Times New Roman"/>
          <w:color w:val="000000"/>
          <w:lang w:eastAsia="fr-FR"/>
        </w:rPr>
        <w:t>→Le droit pénal et le capitalisme industriel : droit p</w:t>
      </w:r>
      <w:r w:rsidRPr="001E07C6">
        <w:rPr>
          <w:rFonts w:ascii="Bookman Old Style" w:eastAsia="Times New Roman" w:hAnsi="Bookman Old Style" w:cs="Verdana"/>
          <w:color w:val="000000"/>
          <w:lang w:eastAsia="fr-FR"/>
        </w:rPr>
        <w:t>é</w:t>
      </w:r>
      <w:r w:rsidRPr="001E07C6">
        <w:rPr>
          <w:rFonts w:ascii="Bookman Old Style" w:eastAsia="Times New Roman" w:hAnsi="Bookman Old Style" w:cs="Times New Roman"/>
          <w:color w:val="000000"/>
          <w:lang w:eastAsia="fr-FR"/>
        </w:rPr>
        <w:t>nal comptable, droit pénal des sociétés (comptabilité en partie double, garantie du capital social, protection des épargnants, confiance dans l’économie capitaliste) – </w:t>
      </w:r>
      <w:r w:rsidRPr="001E07C6">
        <w:rPr>
          <w:rFonts w:ascii="Bookman Old Style" w:eastAsia="Times New Roman" w:hAnsi="Bookman Old Style" w:cs="Times New Roman"/>
          <w:i/>
          <w:iCs/>
          <w:color w:val="000000"/>
          <w:lang w:eastAsia="fr-FR"/>
        </w:rPr>
        <w:t>réf. G. Ripert, Aspects juridiques du capitalisme moderne, 1952</w:t>
      </w:r>
      <w:r w:rsidRPr="001E07C6">
        <w:rPr>
          <w:rFonts w:ascii="Bookman Old Style" w:eastAsia="Times New Roman" w:hAnsi="Bookman Old Style" w:cs="Times New Roman"/>
          <w:color w:val="000000"/>
          <w:lang w:eastAsia="fr-FR"/>
        </w:rPr>
        <w:t>. –</w:t>
      </w:r>
    </w:p>
    <w:p w:rsidR="009A2E00" w:rsidRPr="001E07C6" w:rsidRDefault="009A2E00" w:rsidP="009A2E00">
      <w:pPr>
        <w:spacing w:after="0" w:line="360" w:lineRule="auto"/>
        <w:jc w:val="both"/>
        <w:rPr>
          <w:rFonts w:ascii="Bookman Old Style" w:eastAsia="Times New Roman" w:hAnsi="Bookman Old Style" w:cs="Times New Roman"/>
          <w:iCs/>
          <w:color w:val="000000"/>
          <w:lang w:eastAsia="fr-FR"/>
        </w:rPr>
      </w:pPr>
    </w:p>
    <w:p w:rsidR="009A2E00" w:rsidRPr="001E07C6" w:rsidRDefault="009A2E00" w:rsidP="009A2E00">
      <w:pPr>
        <w:spacing w:after="0" w:line="360" w:lineRule="auto"/>
        <w:jc w:val="both"/>
        <w:rPr>
          <w:rFonts w:ascii="Bookman Old Style" w:eastAsia="Times New Roman" w:hAnsi="Bookman Old Style" w:cs="Times New Roman"/>
          <w:color w:val="000000"/>
          <w:lang w:eastAsia="fr-FR"/>
        </w:rPr>
      </w:pPr>
      <w:r w:rsidRPr="001E07C6">
        <w:rPr>
          <w:rFonts w:ascii="Bookman Old Style" w:eastAsia="Times New Roman" w:hAnsi="Bookman Old Style" w:cs="Times New Roman"/>
          <w:iCs/>
          <w:color w:val="000000"/>
          <w:lang w:eastAsia="fr-FR"/>
        </w:rPr>
        <w:t xml:space="preserve">→Le droit pénal et le capitalisme financier : </w:t>
      </w:r>
      <w:r w:rsidRPr="001E07C6">
        <w:rPr>
          <w:rFonts w:ascii="Bookman Old Style" w:eastAsia="Times New Roman" w:hAnsi="Bookman Old Style" w:cs="Times New Roman"/>
          <w:color w:val="000000"/>
          <w:lang w:eastAsia="fr-FR"/>
        </w:rPr>
        <w:t xml:space="preserve"> la mutation du droit pénal classique vers un droit répressif global (mondialisation des échanges, dérégulation; la régulation par le contrôle interne (corporate governance, RSE) ; Apparition d’un droit administratif répressif à travers le pouvoir de sanction des autorités administratives ou publiques indépendantes (v. principe </w:t>
      </w:r>
      <w:r w:rsidRPr="001E07C6">
        <w:rPr>
          <w:rFonts w:ascii="Bookman Old Style" w:eastAsia="Times New Roman" w:hAnsi="Bookman Old Style" w:cs="Times New Roman"/>
          <w:i/>
          <w:iCs/>
          <w:color w:val="000000"/>
          <w:lang w:eastAsia="fr-FR"/>
        </w:rPr>
        <w:t>non bis in idem</w:t>
      </w:r>
      <w:r w:rsidRPr="001E07C6">
        <w:rPr>
          <w:rFonts w:ascii="Bookman Old Style" w:eastAsia="Times New Roman" w:hAnsi="Bookman Old Style" w:cs="Times New Roman"/>
          <w:color w:val="000000"/>
          <w:lang w:eastAsia="fr-FR"/>
        </w:rPr>
        <w:t>) et d’un droit répressif global -  Réf. </w:t>
      </w:r>
      <w:r w:rsidRPr="001E07C6">
        <w:rPr>
          <w:rFonts w:ascii="Bookman Old Style" w:eastAsia="Times New Roman" w:hAnsi="Bookman Old Style" w:cs="Times New Roman"/>
          <w:i/>
          <w:iCs/>
          <w:color w:val="000000"/>
          <w:lang w:eastAsia="fr-FR"/>
        </w:rPr>
        <w:t>Rapport Marini, La modernisation du droit des sociétés 1996 ; Rapport Coulon, Dépénalisation de la vie des affaires,  2008</w:t>
      </w:r>
      <w:r w:rsidRPr="001E07C6">
        <w:rPr>
          <w:rFonts w:ascii="Bookman Old Style" w:eastAsia="Times New Roman" w:hAnsi="Bookman Old Style" w:cs="Times New Roman"/>
          <w:color w:val="000000"/>
          <w:lang w:eastAsia="fr-FR"/>
        </w:rPr>
        <w:t>.</w:t>
      </w:r>
    </w:p>
    <w:p w:rsidR="009A2E00" w:rsidRPr="001E07C6" w:rsidRDefault="009A2E00" w:rsidP="009A2E00">
      <w:pPr>
        <w:spacing w:after="0" w:line="360" w:lineRule="auto"/>
        <w:jc w:val="both"/>
        <w:rPr>
          <w:rFonts w:ascii="Bookman Old Style" w:eastAsia="Times New Roman" w:hAnsi="Bookman Old Style" w:cs="Times New Roman"/>
          <w:color w:val="000000"/>
          <w:lang w:eastAsia="fr-FR"/>
        </w:rPr>
      </w:pPr>
    </w:p>
    <w:p w:rsidR="009A2E00" w:rsidRPr="001E07C6" w:rsidRDefault="009A2E00" w:rsidP="009A2E00">
      <w:pPr>
        <w:spacing w:after="0" w:line="360" w:lineRule="auto"/>
        <w:jc w:val="both"/>
        <w:rPr>
          <w:rFonts w:ascii="Bookman Old Style" w:eastAsia="Times New Roman" w:hAnsi="Bookman Old Style" w:cs="Times New Roman"/>
          <w:smallCaps/>
          <w:color w:val="000000"/>
          <w:u w:val="single"/>
          <w:lang w:eastAsia="fr-FR"/>
        </w:rPr>
      </w:pPr>
      <w:r w:rsidRPr="001E07C6">
        <w:rPr>
          <w:rFonts w:ascii="Bookman Old Style" w:eastAsia="Times New Roman" w:hAnsi="Bookman Old Style" w:cs="Times New Roman"/>
          <w:b/>
          <w:bCs/>
          <w:smallCaps/>
          <w:color w:val="000000"/>
          <w:u w:val="single"/>
          <w:lang w:eastAsia="fr-FR"/>
        </w:rPr>
        <w:t>Thème II. Les délits et manquements boursiers</w:t>
      </w:r>
    </w:p>
    <w:p w:rsidR="009A2E00" w:rsidRPr="001E07C6" w:rsidRDefault="009A2E00" w:rsidP="009A2E00">
      <w:pPr>
        <w:spacing w:after="0" w:line="360" w:lineRule="auto"/>
        <w:jc w:val="both"/>
        <w:rPr>
          <w:rFonts w:ascii="Bookman Old Style" w:eastAsia="Times New Roman" w:hAnsi="Bookman Old Style" w:cs="Times New Roman"/>
          <w:color w:val="000000"/>
          <w:lang w:eastAsia="fr-FR"/>
        </w:rPr>
      </w:pPr>
      <w:r w:rsidRPr="001E07C6">
        <w:rPr>
          <w:rFonts w:ascii="Bookman Old Style" w:eastAsia="Times New Roman" w:hAnsi="Bookman Old Style" w:cs="Times New Roman"/>
          <w:b/>
          <w:bCs/>
          <w:color w:val="000000"/>
          <w:lang w:eastAsia="fr-FR"/>
        </w:rPr>
        <w:t> </w:t>
      </w:r>
    </w:p>
    <w:p w:rsidR="009A2E00" w:rsidRPr="001E07C6" w:rsidRDefault="009A2E00" w:rsidP="009A2E00">
      <w:pPr>
        <w:spacing w:after="0" w:line="360" w:lineRule="auto"/>
        <w:jc w:val="both"/>
        <w:rPr>
          <w:rFonts w:ascii="Bookman Old Style" w:eastAsia="Times New Roman" w:hAnsi="Bookman Old Style" w:cs="Times New Roman"/>
          <w:color w:val="000000"/>
          <w:lang w:eastAsia="fr-FR"/>
        </w:rPr>
      </w:pPr>
      <w:r w:rsidRPr="001E07C6">
        <w:rPr>
          <w:rFonts w:ascii="Bookman Old Style" w:eastAsia="Times New Roman" w:hAnsi="Bookman Old Style" w:cs="Times New Roman"/>
          <w:color w:val="000000"/>
          <w:lang w:eastAsia="fr-FR"/>
        </w:rPr>
        <w:t>→Le cumul des sanctions judiciaires pénales et des sanctions administratives répressives au regard du principe </w:t>
      </w:r>
      <w:r w:rsidRPr="001E07C6">
        <w:rPr>
          <w:rFonts w:ascii="Bookman Old Style" w:eastAsia="Times New Roman" w:hAnsi="Bookman Old Style" w:cs="Times New Roman"/>
          <w:i/>
          <w:iCs/>
          <w:color w:val="000000"/>
          <w:lang w:eastAsia="fr-FR"/>
        </w:rPr>
        <w:t>Ne bis in idem -</w:t>
      </w:r>
    </w:p>
    <w:p w:rsidR="009A2E00" w:rsidRPr="001E07C6" w:rsidRDefault="009A2E00" w:rsidP="009A2E00">
      <w:pPr>
        <w:spacing w:after="0" w:line="360" w:lineRule="auto"/>
        <w:jc w:val="both"/>
        <w:rPr>
          <w:rFonts w:ascii="Bookman Old Style" w:eastAsia="Times New Roman" w:hAnsi="Bookman Old Style" w:cs="Times New Roman"/>
          <w:color w:val="000000"/>
          <w:lang w:eastAsia="fr-FR"/>
        </w:rPr>
      </w:pPr>
    </w:p>
    <w:p w:rsidR="009A2E00" w:rsidRPr="001E07C6" w:rsidRDefault="009A2E00" w:rsidP="009A2E00">
      <w:pPr>
        <w:spacing w:after="0" w:line="360" w:lineRule="auto"/>
        <w:jc w:val="both"/>
        <w:rPr>
          <w:rFonts w:ascii="Bookman Old Style" w:eastAsia="Times New Roman" w:hAnsi="Bookman Old Style" w:cs="Times New Roman"/>
          <w:color w:val="000000"/>
          <w:lang w:eastAsia="fr-FR"/>
        </w:rPr>
      </w:pPr>
      <w:r w:rsidRPr="001E07C6">
        <w:rPr>
          <w:rFonts w:ascii="Bookman Old Style" w:eastAsia="Times New Roman" w:hAnsi="Bookman Old Style" w:cs="Times New Roman"/>
          <w:color w:val="000000"/>
          <w:lang w:eastAsia="fr-FR"/>
        </w:rPr>
        <w:t>→Evolution du droit (national et européen) ; CEDH 4 mars 2014 et CC 18 mars 2015 ; Présentation de la Directive 2014 et du Règlement 2014 sur les Abus de marché; </w:t>
      </w:r>
    </w:p>
    <w:p w:rsidR="009A2E00" w:rsidRPr="001E07C6" w:rsidRDefault="009A2E00" w:rsidP="009A2E00">
      <w:pPr>
        <w:spacing w:after="0" w:line="360" w:lineRule="auto"/>
        <w:jc w:val="both"/>
        <w:rPr>
          <w:rFonts w:ascii="Bookman Old Style" w:eastAsia="Times New Roman" w:hAnsi="Bookman Old Style" w:cs="Times New Roman"/>
          <w:color w:val="000000"/>
          <w:lang w:eastAsia="fr-FR"/>
        </w:rPr>
      </w:pPr>
      <w:r w:rsidRPr="001E07C6">
        <w:rPr>
          <w:rFonts w:ascii="Bookman Old Style" w:eastAsia="Times New Roman" w:hAnsi="Bookman Old Style" w:cs="Times New Roman"/>
          <w:color w:val="000000"/>
          <w:lang w:eastAsia="fr-FR"/>
        </w:rPr>
        <w:br/>
        <w:t>→ Propositions de réformes</w:t>
      </w:r>
    </w:p>
    <w:p w:rsidR="009A2E00" w:rsidRPr="001E07C6" w:rsidRDefault="009A2E00" w:rsidP="009A2E00">
      <w:pPr>
        <w:spacing w:after="0" w:line="360" w:lineRule="auto"/>
        <w:jc w:val="both"/>
        <w:rPr>
          <w:rFonts w:ascii="Bookman Old Style" w:eastAsia="Times New Roman" w:hAnsi="Bookman Old Style" w:cs="Times New Roman"/>
          <w:color w:val="000000"/>
          <w:lang w:eastAsia="fr-FR"/>
        </w:rPr>
      </w:pPr>
    </w:p>
    <w:p w:rsidR="009A2E00" w:rsidRPr="001E07C6" w:rsidRDefault="009A2E00" w:rsidP="009A2E00">
      <w:pPr>
        <w:spacing w:after="0" w:line="360" w:lineRule="auto"/>
        <w:jc w:val="both"/>
        <w:rPr>
          <w:rFonts w:ascii="Bookman Old Style" w:eastAsia="Times New Roman" w:hAnsi="Bookman Old Style" w:cs="Times New Roman"/>
          <w:color w:val="000000"/>
          <w:lang w:eastAsia="fr-FR"/>
        </w:rPr>
      </w:pPr>
      <w:r w:rsidRPr="001E07C6">
        <w:rPr>
          <w:rFonts w:ascii="Bookman Old Style" w:eastAsia="Times New Roman" w:hAnsi="Bookman Old Style" w:cs="Times New Roman"/>
          <w:i/>
          <w:color w:val="000000"/>
          <w:lang w:eastAsia="fr-FR"/>
        </w:rPr>
        <w:lastRenderedPageBreak/>
        <w:t>Réf. Rapport AMF 19 mai 2015, L'application du principe Ne bis in idem dans la répression des abus de marché, Proposition de réforme ; Rapport du Club des Juristes, Poursuite et sanction des abus de marché : Le droit français à l'épreuve des textes communautaires et des jurisprudences récentes</w:t>
      </w:r>
      <w:r w:rsidRPr="001E07C6">
        <w:rPr>
          <w:rFonts w:ascii="Bookman Old Style" w:eastAsia="Times New Roman" w:hAnsi="Bookman Old Style" w:cs="Times New Roman"/>
          <w:color w:val="000000"/>
          <w:lang w:eastAsia="fr-FR"/>
        </w:rPr>
        <w:t xml:space="preserve"> - </w:t>
      </w:r>
    </w:p>
    <w:p w:rsidR="009A2E00" w:rsidRPr="001E07C6" w:rsidRDefault="009A2E00" w:rsidP="009A2E00">
      <w:pPr>
        <w:spacing w:after="0" w:line="360" w:lineRule="auto"/>
        <w:jc w:val="both"/>
        <w:rPr>
          <w:rFonts w:ascii="Bookman Old Style" w:eastAsia="Times New Roman" w:hAnsi="Bookman Old Style" w:cs="Times New Roman"/>
          <w:color w:val="000000"/>
          <w:lang w:eastAsia="fr-FR"/>
        </w:rPr>
      </w:pPr>
    </w:p>
    <w:p w:rsidR="009A2E00" w:rsidRPr="001E07C6" w:rsidRDefault="009A2E00" w:rsidP="009A2E00">
      <w:pPr>
        <w:spacing w:line="360" w:lineRule="auto"/>
        <w:jc w:val="both"/>
        <w:rPr>
          <w:rFonts w:ascii="Bookman Old Style" w:eastAsia="Times New Roman" w:hAnsi="Bookman Old Style" w:cs="Times New Roman"/>
          <w:color w:val="000000"/>
          <w:u w:val="single"/>
          <w:lang w:eastAsia="fr-FR"/>
        </w:rPr>
      </w:pPr>
      <w:r w:rsidRPr="001E07C6">
        <w:rPr>
          <w:rFonts w:ascii="Bookman Old Style" w:eastAsia="Times New Roman" w:hAnsi="Bookman Old Style" w:cs="Times New Roman"/>
          <w:b/>
          <w:bCs/>
          <w:color w:val="000000"/>
          <w:u w:val="single"/>
          <w:lang w:eastAsia="fr-FR"/>
        </w:rPr>
        <w:t xml:space="preserve"> THEME III. </w:t>
      </w:r>
      <w:r w:rsidRPr="001E07C6">
        <w:rPr>
          <w:rFonts w:ascii="Bookman Old Style" w:eastAsia="Times New Roman" w:hAnsi="Bookman Old Style" w:cs="Times New Roman"/>
          <w:b/>
          <w:bCs/>
          <w:smallCaps/>
          <w:color w:val="000000"/>
          <w:u w:val="single"/>
          <w:lang w:eastAsia="fr-FR"/>
        </w:rPr>
        <w:t>Le Délit de blanchiment d’argent</w:t>
      </w:r>
    </w:p>
    <w:p w:rsidR="009A2E00" w:rsidRPr="001E07C6" w:rsidRDefault="009A2E00" w:rsidP="009A2E00">
      <w:pPr>
        <w:spacing w:line="360" w:lineRule="auto"/>
        <w:jc w:val="both"/>
        <w:rPr>
          <w:rFonts w:ascii="Bookman Old Style" w:eastAsia="Times New Roman" w:hAnsi="Bookman Old Style" w:cs="Times New Roman"/>
          <w:color w:val="000000"/>
          <w:lang w:eastAsia="fr-FR"/>
        </w:rPr>
      </w:pPr>
      <w:r w:rsidRPr="001E07C6">
        <w:rPr>
          <w:rFonts w:ascii="Bookman Old Style" w:eastAsia="Times New Roman" w:hAnsi="Bookman Old Style" w:cs="Times New Roman"/>
          <w:color w:val="000000"/>
          <w:lang w:eastAsia="fr-FR"/>
        </w:rPr>
        <w:t>→Le blanchiment de capitaux et l’économie légale : présentation générale du délit de blanchiment : les techniques juridiques et financières, supports des opérations de blanchiment</w:t>
      </w:r>
    </w:p>
    <w:p w:rsidR="009A2E00" w:rsidRPr="001E07C6" w:rsidRDefault="009A2E00" w:rsidP="009A2E00">
      <w:pPr>
        <w:spacing w:line="360" w:lineRule="auto"/>
        <w:jc w:val="both"/>
        <w:rPr>
          <w:rFonts w:ascii="Bookman Old Style" w:eastAsia="Times New Roman" w:hAnsi="Bookman Old Style" w:cs="Times New Roman"/>
          <w:color w:val="000000"/>
          <w:lang w:eastAsia="fr-FR"/>
        </w:rPr>
      </w:pPr>
      <w:r w:rsidRPr="001E07C6">
        <w:rPr>
          <w:rFonts w:ascii="Bookman Old Style" w:eastAsia="Times New Roman" w:hAnsi="Bookman Old Style" w:cs="Times New Roman"/>
          <w:color w:val="000000"/>
          <w:lang w:eastAsia="fr-FR"/>
        </w:rPr>
        <w:t>→Le traitement pr</w:t>
      </w:r>
      <w:r w:rsidRPr="001E07C6">
        <w:rPr>
          <w:rFonts w:ascii="Bookman Old Style" w:eastAsia="Times New Roman" w:hAnsi="Bookman Old Style" w:cs="Verdana"/>
          <w:color w:val="000000"/>
          <w:lang w:eastAsia="fr-FR"/>
        </w:rPr>
        <w:t>é</w:t>
      </w:r>
      <w:r w:rsidRPr="001E07C6">
        <w:rPr>
          <w:rFonts w:ascii="Bookman Old Style" w:eastAsia="Times New Roman" w:hAnsi="Bookman Old Style" w:cs="Times New Roman"/>
          <w:color w:val="000000"/>
          <w:lang w:eastAsia="fr-FR"/>
        </w:rPr>
        <w:t>ventif du blanchiment (d</w:t>
      </w:r>
      <w:r w:rsidRPr="001E07C6">
        <w:rPr>
          <w:rFonts w:ascii="Bookman Old Style" w:eastAsia="Times New Roman" w:hAnsi="Bookman Old Style" w:cs="Verdana"/>
          <w:color w:val="000000"/>
          <w:lang w:eastAsia="fr-FR"/>
        </w:rPr>
        <w:t>é</w:t>
      </w:r>
      <w:r w:rsidRPr="001E07C6">
        <w:rPr>
          <w:rFonts w:ascii="Bookman Old Style" w:eastAsia="Times New Roman" w:hAnsi="Bookman Old Style" w:cs="Times New Roman"/>
          <w:color w:val="000000"/>
          <w:lang w:eastAsia="fr-FR"/>
        </w:rPr>
        <w:t>l</w:t>
      </w:r>
      <w:r w:rsidRPr="001E07C6">
        <w:rPr>
          <w:rFonts w:ascii="Bookman Old Style" w:eastAsia="Times New Roman" w:hAnsi="Bookman Old Style" w:cs="Verdana"/>
          <w:color w:val="000000"/>
          <w:lang w:eastAsia="fr-FR"/>
        </w:rPr>
        <w:t>é</w:t>
      </w:r>
      <w:r w:rsidRPr="001E07C6">
        <w:rPr>
          <w:rFonts w:ascii="Bookman Old Style" w:eastAsia="Times New Roman" w:hAnsi="Bookman Old Style" w:cs="Times New Roman"/>
          <w:color w:val="000000"/>
          <w:lang w:eastAsia="fr-FR"/>
        </w:rPr>
        <w:t>gation par l</w:t>
      </w:r>
      <w:r w:rsidRPr="001E07C6">
        <w:rPr>
          <w:rFonts w:ascii="Bookman Old Style" w:eastAsia="Times New Roman" w:hAnsi="Bookman Old Style" w:cs="Verdana"/>
          <w:color w:val="000000"/>
          <w:lang w:eastAsia="fr-FR"/>
        </w:rPr>
        <w:t>’</w:t>
      </w:r>
      <w:r w:rsidRPr="001E07C6">
        <w:rPr>
          <w:rFonts w:ascii="Bookman Old Style" w:eastAsia="Times New Roman" w:hAnsi="Bookman Old Style" w:cs="Times New Roman"/>
          <w:color w:val="000000"/>
          <w:lang w:eastAsia="fr-FR"/>
        </w:rPr>
        <w:t>Etat de la surveillance et de la d</w:t>
      </w:r>
      <w:r w:rsidRPr="001E07C6">
        <w:rPr>
          <w:rFonts w:ascii="Bookman Old Style" w:eastAsia="Times New Roman" w:hAnsi="Bookman Old Style" w:cs="Verdana"/>
          <w:color w:val="000000"/>
          <w:lang w:eastAsia="fr-FR"/>
        </w:rPr>
        <w:t>é</w:t>
      </w:r>
      <w:r w:rsidRPr="001E07C6">
        <w:rPr>
          <w:rFonts w:ascii="Bookman Old Style" w:eastAsia="Times New Roman" w:hAnsi="Bookman Old Style" w:cs="Times New Roman"/>
          <w:color w:val="000000"/>
          <w:lang w:eastAsia="fr-FR"/>
        </w:rPr>
        <w:t>nonciation des faits criminels au sein de l</w:t>
      </w:r>
      <w:r w:rsidRPr="001E07C6">
        <w:rPr>
          <w:rFonts w:ascii="Bookman Old Style" w:eastAsia="Times New Roman" w:hAnsi="Bookman Old Style" w:cs="Verdana"/>
          <w:color w:val="000000"/>
          <w:lang w:eastAsia="fr-FR"/>
        </w:rPr>
        <w:t>’</w:t>
      </w:r>
      <w:r w:rsidRPr="001E07C6">
        <w:rPr>
          <w:rFonts w:ascii="Bookman Old Style" w:eastAsia="Times New Roman" w:hAnsi="Bookman Old Style" w:cs="Times New Roman"/>
          <w:color w:val="000000"/>
          <w:lang w:eastAsia="fr-FR"/>
        </w:rPr>
        <w:t>entreprise)</w:t>
      </w:r>
      <w:r w:rsidRPr="001E07C6">
        <w:rPr>
          <w:rFonts w:ascii="Bookman Old Style" w:eastAsia="Times New Roman" w:hAnsi="Bookman Old Style" w:cs="Verdana"/>
          <w:color w:val="000000"/>
          <w:lang w:eastAsia="fr-FR"/>
        </w:rPr>
        <w:t> </w:t>
      </w:r>
      <w:r w:rsidRPr="001E07C6">
        <w:rPr>
          <w:rFonts w:ascii="Bookman Old Style" w:eastAsia="Times New Roman" w:hAnsi="Bookman Old Style" w:cs="Times New Roman"/>
          <w:color w:val="000000"/>
          <w:lang w:eastAsia="fr-FR"/>
        </w:rPr>
        <w:t>; obligations de vigilance et obligations de déclaration des professionnels (Tracfin)</w:t>
      </w:r>
    </w:p>
    <w:p w:rsidR="009A2E00" w:rsidRPr="001E07C6" w:rsidRDefault="009A2E00" w:rsidP="009A2E00">
      <w:pPr>
        <w:spacing w:line="360" w:lineRule="auto"/>
        <w:jc w:val="both"/>
        <w:rPr>
          <w:rFonts w:ascii="Bookman Old Style" w:eastAsia="Times New Roman" w:hAnsi="Bookman Old Style" w:cs="Times New Roman"/>
          <w:color w:val="000000"/>
          <w:lang w:eastAsia="fr-FR"/>
        </w:rPr>
      </w:pPr>
      <w:r w:rsidRPr="001E07C6">
        <w:rPr>
          <w:rFonts w:ascii="Bookman Old Style" w:eastAsia="Times New Roman" w:hAnsi="Bookman Old Style" w:cs="Times New Roman"/>
          <w:color w:val="000000"/>
          <w:lang w:eastAsia="fr-FR"/>
        </w:rPr>
        <w:t>→Le traitement r</w:t>
      </w:r>
      <w:r w:rsidRPr="001E07C6">
        <w:rPr>
          <w:rFonts w:ascii="Bookman Old Style" w:eastAsia="Times New Roman" w:hAnsi="Bookman Old Style" w:cs="Verdana"/>
          <w:color w:val="000000"/>
          <w:lang w:eastAsia="fr-FR"/>
        </w:rPr>
        <w:t>é</w:t>
      </w:r>
      <w:r w:rsidRPr="001E07C6">
        <w:rPr>
          <w:rFonts w:ascii="Bookman Old Style" w:eastAsia="Times New Roman" w:hAnsi="Bookman Old Style" w:cs="Times New Roman"/>
          <w:color w:val="000000"/>
          <w:lang w:eastAsia="fr-FR"/>
        </w:rPr>
        <w:t>pressif du blanchiment</w:t>
      </w:r>
      <w:r w:rsidRPr="001E07C6">
        <w:rPr>
          <w:rFonts w:ascii="Bookman Old Style" w:eastAsia="Times New Roman" w:hAnsi="Bookman Old Style" w:cs="Verdana"/>
          <w:color w:val="000000"/>
          <w:lang w:eastAsia="fr-FR"/>
        </w:rPr>
        <w:t> </w:t>
      </w:r>
      <w:r w:rsidRPr="001E07C6">
        <w:rPr>
          <w:rFonts w:ascii="Bookman Old Style" w:eastAsia="Times New Roman" w:hAnsi="Bookman Old Style" w:cs="Times New Roman"/>
          <w:color w:val="000000"/>
          <w:lang w:eastAsia="fr-FR"/>
        </w:rPr>
        <w:t>: d</w:t>
      </w:r>
      <w:r w:rsidRPr="001E07C6">
        <w:rPr>
          <w:rFonts w:ascii="Bookman Old Style" w:eastAsia="Times New Roman" w:hAnsi="Bookman Old Style" w:cs="Verdana"/>
          <w:color w:val="000000"/>
          <w:lang w:eastAsia="fr-FR"/>
        </w:rPr>
        <w:t>é</w:t>
      </w:r>
      <w:r w:rsidRPr="001E07C6">
        <w:rPr>
          <w:rFonts w:ascii="Bookman Old Style" w:eastAsia="Times New Roman" w:hAnsi="Bookman Old Style" w:cs="Times New Roman"/>
          <w:color w:val="000000"/>
          <w:lang w:eastAsia="fr-FR"/>
        </w:rPr>
        <w:t>lit g</w:t>
      </w:r>
      <w:r w:rsidRPr="001E07C6">
        <w:rPr>
          <w:rFonts w:ascii="Bookman Old Style" w:eastAsia="Times New Roman" w:hAnsi="Bookman Old Style" w:cs="Verdana"/>
          <w:color w:val="000000"/>
          <w:lang w:eastAsia="fr-FR"/>
        </w:rPr>
        <w:t>é</w:t>
      </w:r>
      <w:r w:rsidRPr="001E07C6">
        <w:rPr>
          <w:rFonts w:ascii="Bookman Old Style" w:eastAsia="Times New Roman" w:hAnsi="Bookman Old Style" w:cs="Times New Roman"/>
          <w:color w:val="000000"/>
          <w:lang w:eastAsia="fr-FR"/>
        </w:rPr>
        <w:t>n</w:t>
      </w:r>
      <w:r w:rsidRPr="001E07C6">
        <w:rPr>
          <w:rFonts w:ascii="Bookman Old Style" w:eastAsia="Times New Roman" w:hAnsi="Bookman Old Style" w:cs="Verdana"/>
          <w:color w:val="000000"/>
          <w:lang w:eastAsia="fr-FR"/>
        </w:rPr>
        <w:t>é</w:t>
      </w:r>
      <w:r w:rsidRPr="001E07C6">
        <w:rPr>
          <w:rFonts w:ascii="Bookman Old Style" w:eastAsia="Times New Roman" w:hAnsi="Bookman Old Style" w:cs="Times New Roman"/>
          <w:color w:val="000000"/>
          <w:lang w:eastAsia="fr-FR"/>
        </w:rPr>
        <w:t>ral de blanchiment, blanchiment et criminalit</w:t>
      </w:r>
      <w:r w:rsidRPr="001E07C6">
        <w:rPr>
          <w:rFonts w:ascii="Bookman Old Style" w:eastAsia="Times New Roman" w:hAnsi="Bookman Old Style" w:cs="Verdana"/>
          <w:color w:val="000000"/>
          <w:lang w:eastAsia="fr-FR"/>
        </w:rPr>
        <w:t>é</w:t>
      </w:r>
      <w:r w:rsidRPr="001E07C6">
        <w:rPr>
          <w:rFonts w:ascii="Bookman Old Style" w:eastAsia="Times New Roman" w:hAnsi="Bookman Old Style" w:cs="Times New Roman"/>
          <w:color w:val="000000"/>
          <w:lang w:eastAsia="fr-FR"/>
        </w:rPr>
        <w:t xml:space="preserve"> transnationale organis</w:t>
      </w:r>
      <w:r w:rsidRPr="001E07C6">
        <w:rPr>
          <w:rFonts w:ascii="Bookman Old Style" w:eastAsia="Times New Roman" w:hAnsi="Bookman Old Style" w:cs="Verdana"/>
          <w:color w:val="000000"/>
          <w:lang w:eastAsia="fr-FR"/>
        </w:rPr>
        <w:t>é</w:t>
      </w:r>
      <w:r w:rsidRPr="001E07C6">
        <w:rPr>
          <w:rFonts w:ascii="Bookman Old Style" w:eastAsia="Times New Roman" w:hAnsi="Bookman Old Style" w:cs="Times New Roman"/>
          <w:color w:val="000000"/>
          <w:lang w:eastAsia="fr-FR"/>
        </w:rPr>
        <w:t>e ;</w:t>
      </w:r>
    </w:p>
    <w:p w:rsidR="00285B43" w:rsidRDefault="009A2E00" w:rsidP="00923C13">
      <w:pPr>
        <w:spacing w:line="360" w:lineRule="auto"/>
        <w:jc w:val="both"/>
        <w:rPr>
          <w:rFonts w:ascii="Bookman Old Style" w:eastAsia="Times New Roman" w:hAnsi="Bookman Old Style" w:cs="Times New Roman"/>
          <w:i/>
          <w:color w:val="000000"/>
          <w:lang w:eastAsia="fr-FR"/>
        </w:rPr>
      </w:pPr>
      <w:r w:rsidRPr="001E07C6">
        <w:rPr>
          <w:rFonts w:ascii="Bookman Old Style" w:eastAsia="Times New Roman" w:hAnsi="Bookman Old Style" w:cs="Times New Roman"/>
          <w:color w:val="000000"/>
          <w:lang w:eastAsia="fr-FR"/>
        </w:rPr>
        <w:t xml:space="preserve">Réf. </w:t>
      </w:r>
      <w:r w:rsidRPr="001E07C6">
        <w:rPr>
          <w:rFonts w:ascii="Bookman Old Style" w:eastAsia="Times New Roman" w:hAnsi="Bookman Old Style" w:cs="Times New Roman"/>
          <w:i/>
          <w:color w:val="000000"/>
          <w:lang w:eastAsia="fr-FR"/>
        </w:rPr>
        <w:t>Ch. Cutajar, Le nouvel arsenal de lutte contre la fraude fiscale et la grande délinquance économique et financière après les lois du 6 décembre 2013 ; Le Correc, Blanchiment et organismes financiers, RLDA Juin 2013/83</w:t>
      </w:r>
    </w:p>
    <w:p w:rsidR="00923C13" w:rsidRPr="00923C13" w:rsidRDefault="00923C13" w:rsidP="00923C13">
      <w:pPr>
        <w:spacing w:line="360" w:lineRule="auto"/>
        <w:jc w:val="both"/>
        <w:rPr>
          <w:rFonts w:ascii="Bookman Old Style" w:eastAsia="Times New Roman" w:hAnsi="Bookman Old Style" w:cs="Times New Roman"/>
          <w:i/>
          <w:color w:val="000000"/>
          <w:lang w:eastAsia="fr-FR"/>
        </w:rPr>
      </w:pPr>
    </w:p>
    <w:p w:rsidR="00923C13" w:rsidRPr="00BC2CEB" w:rsidRDefault="00923C13" w:rsidP="00285B43">
      <w:pPr>
        <w:rPr>
          <w:rFonts w:ascii="Bookman Old Style" w:hAnsi="Bookman Old Style"/>
        </w:rPr>
      </w:pPr>
      <w:r w:rsidRPr="00AE4E48">
        <w:rPr>
          <w:rFonts w:ascii="Bookman Old Style" w:hAnsi="Bookman Old Style"/>
          <w:b/>
        </w:rPr>
        <w:t>Contrôle des connaissances : examen écrit</w:t>
      </w:r>
      <w:r w:rsidR="00251E4E">
        <w:rPr>
          <w:rFonts w:ascii="Bookman Old Style" w:hAnsi="Bookman Old Style"/>
          <w:b/>
        </w:rPr>
        <w:t xml:space="preserve"> ou oral</w:t>
      </w:r>
      <w:r w:rsidRPr="00AE4E48">
        <w:rPr>
          <w:rFonts w:ascii="Bookman Old Style" w:hAnsi="Bookman Old Style"/>
          <w:b/>
        </w:rPr>
        <w:t>.</w:t>
      </w:r>
    </w:p>
    <w:p w:rsidR="00285B43" w:rsidRDefault="00285B43">
      <w:pPr>
        <w:rPr>
          <w:rFonts w:ascii="Bookman Old Style" w:hAnsi="Bookman Old Style"/>
          <w:color w:val="000000"/>
        </w:rPr>
      </w:pPr>
      <w:r>
        <w:rPr>
          <w:rFonts w:ascii="Bookman Old Style" w:hAnsi="Bookman Old Style"/>
          <w:color w:val="000000"/>
        </w:rPr>
        <w:br w:type="page"/>
      </w:r>
    </w:p>
    <w:p w:rsidR="00E84A44" w:rsidRDefault="008C72A6" w:rsidP="00607B97">
      <w:pPr>
        <w:pStyle w:val="Titre3"/>
        <w:ind w:right="0"/>
        <w:jc w:val="center"/>
        <w:rPr>
          <w:rFonts w:ascii="Bookman Old Style" w:hAnsi="Bookman Old Style"/>
          <w:b/>
          <w:sz w:val="22"/>
          <w:szCs w:val="22"/>
        </w:rPr>
      </w:pPr>
      <w:r w:rsidRPr="008C72A6">
        <w:rPr>
          <w:rFonts w:ascii="Bookman Old Style" w:hAnsi="Bookman Old Style"/>
          <w:b/>
          <w:sz w:val="22"/>
          <w:szCs w:val="22"/>
        </w:rPr>
        <w:lastRenderedPageBreak/>
        <w:t>Evaluation des po</w:t>
      </w:r>
      <w:r>
        <w:rPr>
          <w:rFonts w:ascii="Bookman Old Style" w:hAnsi="Bookman Old Style"/>
          <w:b/>
          <w:sz w:val="22"/>
          <w:szCs w:val="22"/>
        </w:rPr>
        <w:t>l</w:t>
      </w:r>
      <w:r w:rsidRPr="008C72A6">
        <w:rPr>
          <w:rFonts w:ascii="Bookman Old Style" w:hAnsi="Bookman Old Style"/>
          <w:b/>
          <w:sz w:val="22"/>
          <w:szCs w:val="22"/>
        </w:rPr>
        <w:t>itiques publiques</w:t>
      </w:r>
    </w:p>
    <w:p w:rsidR="008C72A6" w:rsidRPr="008C72A6" w:rsidRDefault="008C72A6" w:rsidP="00607B97">
      <w:pPr>
        <w:pStyle w:val="Titre3"/>
        <w:ind w:right="0"/>
        <w:jc w:val="center"/>
        <w:rPr>
          <w:rFonts w:ascii="Bookman Old Style" w:hAnsi="Bookman Old Style"/>
          <w:b/>
          <w:sz w:val="22"/>
          <w:szCs w:val="22"/>
        </w:rPr>
      </w:pPr>
      <w:r w:rsidRPr="008C72A6">
        <w:rPr>
          <w:rFonts w:ascii="Bookman Old Style" w:hAnsi="Bookman Old Style"/>
          <w:b/>
          <w:sz w:val="22"/>
          <w:szCs w:val="22"/>
        </w:rPr>
        <w:t>M. BAUDRY</w:t>
      </w:r>
    </w:p>
    <w:p w:rsidR="008C72A6" w:rsidRPr="008C72A6" w:rsidRDefault="008C72A6" w:rsidP="008C72A6">
      <w:pPr>
        <w:rPr>
          <w:rFonts w:ascii="Bookman Old Style" w:hAnsi="Bookman Old Style"/>
        </w:rPr>
      </w:pPr>
    </w:p>
    <w:p w:rsidR="008C72A6" w:rsidRPr="008C72A6" w:rsidRDefault="008C72A6" w:rsidP="008C72A6">
      <w:pPr>
        <w:rPr>
          <w:rFonts w:ascii="Bookman Old Style" w:hAnsi="Bookman Old Style"/>
          <w:b/>
        </w:rPr>
      </w:pPr>
      <w:r w:rsidRPr="008C72A6">
        <w:rPr>
          <w:rFonts w:ascii="Bookman Old Style" w:hAnsi="Bookman Old Style"/>
          <w:b/>
        </w:rPr>
        <w:t>Objectif</w:t>
      </w:r>
    </w:p>
    <w:p w:rsidR="008C72A6" w:rsidRPr="008C72A6" w:rsidRDefault="008C72A6" w:rsidP="008C72A6">
      <w:pPr>
        <w:rPr>
          <w:rFonts w:ascii="Bookman Old Style" w:hAnsi="Bookman Old Style"/>
        </w:rPr>
      </w:pPr>
      <w:r w:rsidRPr="008C72A6">
        <w:rPr>
          <w:rFonts w:ascii="Bookman Old Style" w:hAnsi="Bookman Old Style"/>
        </w:rPr>
        <w:t>La montée des obligations d’évaluation en matière de politiques publiques, d’abord en Amérique du Nord et plus récemment en Europe, est à l’origine du développement de l’analyse coût-bénéfice comme instrument de prédilection de l’économiste pour orienter les choix publics. Si elle repose à première vue sur des intuitions relativement basiques, un examen plus approfondi de l’analyse coût-bénéfice met en évidence que sa « bonne pratique » repose sur un important travail d’expertise auquel le cours vise à introduire.</w:t>
      </w:r>
    </w:p>
    <w:p w:rsidR="008C72A6" w:rsidRPr="008C72A6" w:rsidRDefault="008C72A6" w:rsidP="008C72A6">
      <w:pPr>
        <w:rPr>
          <w:rFonts w:ascii="Bookman Old Style" w:hAnsi="Bookman Old Style"/>
        </w:rPr>
      </w:pPr>
      <w:r w:rsidRPr="008C72A6">
        <w:rPr>
          <w:rFonts w:ascii="Bookman Old Style" w:hAnsi="Bookman Old Style"/>
        </w:rPr>
        <w:t>Le cours s’attachera plus particulièrement à :</w:t>
      </w:r>
    </w:p>
    <w:p w:rsidR="008C72A6" w:rsidRPr="008C72A6" w:rsidRDefault="008C72A6" w:rsidP="008C72A6">
      <w:pPr>
        <w:numPr>
          <w:ilvl w:val="0"/>
          <w:numId w:val="7"/>
        </w:numPr>
        <w:spacing w:after="0" w:line="240" w:lineRule="auto"/>
        <w:rPr>
          <w:rFonts w:ascii="Bookman Old Style" w:hAnsi="Bookman Old Style"/>
        </w:rPr>
      </w:pPr>
      <w:r w:rsidRPr="008C72A6">
        <w:rPr>
          <w:rFonts w:ascii="Bookman Old Style" w:hAnsi="Bookman Old Style"/>
        </w:rPr>
        <w:t>Montrer les fondements microéconomiques qui sous tendent l’analyse coût-bénéfice afin de mieux en apprécier les limites ;</w:t>
      </w:r>
    </w:p>
    <w:p w:rsidR="008C72A6" w:rsidRPr="008C72A6" w:rsidRDefault="008C72A6" w:rsidP="008C72A6">
      <w:pPr>
        <w:numPr>
          <w:ilvl w:val="0"/>
          <w:numId w:val="8"/>
        </w:numPr>
        <w:spacing w:after="0" w:line="240" w:lineRule="auto"/>
        <w:rPr>
          <w:rFonts w:ascii="Bookman Old Style" w:hAnsi="Bookman Old Style"/>
        </w:rPr>
      </w:pPr>
      <w:r w:rsidRPr="008C72A6">
        <w:rPr>
          <w:rFonts w:ascii="Bookman Old Style" w:hAnsi="Bookman Old Style"/>
        </w:rPr>
        <w:t>Donner un aperçu des méthodes d’évaluation dans le domaine du non marchand, du concept à sa mise en œuvre ;</w:t>
      </w:r>
    </w:p>
    <w:p w:rsidR="008C72A6" w:rsidRPr="008C72A6" w:rsidRDefault="008C72A6" w:rsidP="008C72A6">
      <w:pPr>
        <w:numPr>
          <w:ilvl w:val="0"/>
          <w:numId w:val="9"/>
        </w:numPr>
        <w:spacing w:after="0" w:line="240" w:lineRule="auto"/>
        <w:rPr>
          <w:rFonts w:ascii="Bookman Old Style" w:hAnsi="Bookman Old Style"/>
        </w:rPr>
      </w:pPr>
      <w:r w:rsidRPr="008C72A6">
        <w:rPr>
          <w:rFonts w:ascii="Bookman Old Style" w:hAnsi="Bookman Old Style"/>
        </w:rPr>
        <w:t>Discuter des avantages et défauts respectifs de ces méthodes.</w:t>
      </w:r>
    </w:p>
    <w:p w:rsidR="008C72A6" w:rsidRPr="008C72A6" w:rsidRDefault="008C72A6" w:rsidP="008C72A6">
      <w:pPr>
        <w:rPr>
          <w:rFonts w:ascii="Bookman Old Style" w:hAnsi="Bookman Old Style"/>
        </w:rPr>
      </w:pPr>
    </w:p>
    <w:p w:rsidR="008C72A6" w:rsidRPr="008C72A6" w:rsidRDefault="008C72A6" w:rsidP="008C72A6">
      <w:pPr>
        <w:rPr>
          <w:rFonts w:ascii="Bookman Old Style" w:hAnsi="Bookman Old Style"/>
        </w:rPr>
      </w:pPr>
      <w:r w:rsidRPr="008C72A6">
        <w:rPr>
          <w:rFonts w:ascii="Bookman Old Style" w:hAnsi="Bookman Old Style"/>
        </w:rPr>
        <w:t>Le contenu de l'enseignement sera à la fois théorique et pratique, avec notamment le recours à des exemples chiffrés</w:t>
      </w:r>
    </w:p>
    <w:p w:rsidR="008C72A6" w:rsidRPr="008C72A6" w:rsidRDefault="008C72A6" w:rsidP="008C72A6">
      <w:pPr>
        <w:rPr>
          <w:rFonts w:ascii="Bookman Old Style" w:hAnsi="Bookman Old Style"/>
        </w:rPr>
      </w:pPr>
    </w:p>
    <w:p w:rsidR="008C72A6" w:rsidRPr="008C72A6" w:rsidRDefault="008C72A6" w:rsidP="008C72A6">
      <w:pPr>
        <w:rPr>
          <w:rFonts w:ascii="Bookman Old Style" w:hAnsi="Bookman Old Style"/>
          <w:b/>
        </w:rPr>
      </w:pPr>
      <w:r w:rsidRPr="008C72A6">
        <w:rPr>
          <w:rFonts w:ascii="Bookman Old Style" w:hAnsi="Bookman Old Style"/>
          <w:b/>
        </w:rPr>
        <w:t>Pré-requis</w:t>
      </w:r>
    </w:p>
    <w:p w:rsidR="008C72A6" w:rsidRPr="008C72A6" w:rsidRDefault="008C72A6" w:rsidP="008C72A6">
      <w:pPr>
        <w:rPr>
          <w:rFonts w:ascii="Bookman Old Style" w:hAnsi="Bookman Old Style"/>
        </w:rPr>
      </w:pPr>
      <w:r w:rsidRPr="008C72A6">
        <w:rPr>
          <w:rFonts w:ascii="Bookman Old Style" w:hAnsi="Bookman Old Style"/>
        </w:rPr>
        <w:t>Niveau intermédiaire de micro-économie et de statistiques-économétrie</w:t>
      </w:r>
    </w:p>
    <w:p w:rsidR="008C72A6" w:rsidRPr="008C72A6" w:rsidRDefault="008C72A6" w:rsidP="008C72A6">
      <w:pPr>
        <w:rPr>
          <w:rFonts w:ascii="Bookman Old Style" w:hAnsi="Bookman Old Style"/>
          <w:b/>
        </w:rPr>
      </w:pPr>
      <w:r w:rsidRPr="008C72A6">
        <w:rPr>
          <w:rFonts w:ascii="Bookman Old Style" w:hAnsi="Bookman Old Style"/>
          <w:b/>
        </w:rPr>
        <w:t>Plan détaillé indicatif</w:t>
      </w:r>
    </w:p>
    <w:p w:rsidR="008C72A6" w:rsidRPr="008C72A6" w:rsidRDefault="008C72A6" w:rsidP="008C72A6">
      <w:pPr>
        <w:rPr>
          <w:rFonts w:ascii="Bookman Old Style" w:hAnsi="Bookman Old Style"/>
          <w:vanish/>
        </w:rPr>
      </w:pPr>
    </w:p>
    <w:p w:rsidR="008C72A6" w:rsidRPr="008C72A6" w:rsidRDefault="008C72A6" w:rsidP="008C72A6">
      <w:pPr>
        <w:rPr>
          <w:rFonts w:ascii="Bookman Old Style" w:hAnsi="Bookman Old Style"/>
        </w:rPr>
      </w:pPr>
      <w:r w:rsidRPr="008C72A6">
        <w:rPr>
          <w:rFonts w:ascii="Bookman Old Style" w:hAnsi="Bookman Old Style"/>
        </w:rPr>
        <w:t>Introduction générale</w:t>
      </w:r>
    </w:p>
    <w:p w:rsidR="008C72A6" w:rsidRPr="008C72A6" w:rsidRDefault="008C72A6" w:rsidP="008C72A6">
      <w:pPr>
        <w:rPr>
          <w:rFonts w:ascii="Bookman Old Style" w:hAnsi="Bookman Old Style"/>
        </w:rPr>
      </w:pPr>
      <w:r w:rsidRPr="008C72A6">
        <w:rPr>
          <w:rFonts w:ascii="Bookman Old Style" w:hAnsi="Bookman Old Style"/>
        </w:rPr>
        <w:t>I / Fondements théoriques et limites de l’ACB</w:t>
      </w:r>
    </w:p>
    <w:p w:rsidR="008C72A6" w:rsidRPr="008C72A6" w:rsidRDefault="008C72A6" w:rsidP="008C72A6">
      <w:pPr>
        <w:numPr>
          <w:ilvl w:val="0"/>
          <w:numId w:val="12"/>
        </w:numPr>
        <w:spacing w:after="0" w:line="240" w:lineRule="auto"/>
        <w:rPr>
          <w:rFonts w:ascii="Bookman Old Style" w:hAnsi="Bookman Old Style"/>
        </w:rPr>
      </w:pPr>
      <w:r w:rsidRPr="008C72A6">
        <w:rPr>
          <w:rFonts w:ascii="Bookman Old Style" w:hAnsi="Bookman Old Style"/>
        </w:rPr>
        <w:t>L’évaluation des biens non marchands</w:t>
      </w:r>
    </w:p>
    <w:p w:rsidR="008C72A6" w:rsidRPr="008C72A6" w:rsidRDefault="008C72A6" w:rsidP="008C72A6">
      <w:pPr>
        <w:numPr>
          <w:ilvl w:val="0"/>
          <w:numId w:val="12"/>
        </w:numPr>
        <w:spacing w:after="0" w:line="240" w:lineRule="auto"/>
        <w:rPr>
          <w:rFonts w:ascii="Bookman Old Style" w:hAnsi="Bookman Old Style"/>
        </w:rPr>
      </w:pPr>
      <w:r w:rsidRPr="008C72A6">
        <w:rPr>
          <w:rFonts w:ascii="Bookman Old Style" w:hAnsi="Bookman Old Style"/>
        </w:rPr>
        <w:t>Le critère de Kaldor et Hicks</w:t>
      </w:r>
    </w:p>
    <w:p w:rsidR="008C72A6" w:rsidRPr="008C72A6" w:rsidRDefault="008C72A6" w:rsidP="008C72A6">
      <w:pPr>
        <w:numPr>
          <w:ilvl w:val="0"/>
          <w:numId w:val="12"/>
        </w:numPr>
        <w:spacing w:after="0" w:line="240" w:lineRule="auto"/>
        <w:rPr>
          <w:rFonts w:ascii="Bookman Old Style" w:hAnsi="Bookman Old Style"/>
        </w:rPr>
      </w:pPr>
      <w:r w:rsidRPr="008C72A6">
        <w:rPr>
          <w:rFonts w:ascii="Bookman Old Style" w:hAnsi="Bookman Old Style"/>
        </w:rPr>
        <w:t>La prise en compte des effets redistributifs</w:t>
      </w:r>
    </w:p>
    <w:p w:rsidR="008C72A6" w:rsidRPr="008C72A6" w:rsidRDefault="008C72A6" w:rsidP="008C72A6">
      <w:pPr>
        <w:numPr>
          <w:ilvl w:val="0"/>
          <w:numId w:val="12"/>
        </w:numPr>
        <w:spacing w:after="0" w:line="240" w:lineRule="auto"/>
        <w:rPr>
          <w:rFonts w:ascii="Bookman Old Style" w:hAnsi="Bookman Old Style"/>
        </w:rPr>
      </w:pPr>
      <w:r w:rsidRPr="008C72A6">
        <w:rPr>
          <w:rFonts w:ascii="Bookman Old Style" w:hAnsi="Bookman Old Style"/>
        </w:rPr>
        <w:t>Quelques limites et défauts de l’ACB</w:t>
      </w:r>
    </w:p>
    <w:p w:rsidR="008C72A6" w:rsidRPr="008C72A6" w:rsidRDefault="008C72A6" w:rsidP="008C72A6">
      <w:pPr>
        <w:rPr>
          <w:rFonts w:ascii="Bookman Old Style" w:hAnsi="Bookman Old Style"/>
        </w:rPr>
      </w:pPr>
      <w:r w:rsidRPr="008C72A6">
        <w:rPr>
          <w:rFonts w:ascii="Bookman Old Style" w:hAnsi="Bookman Old Style"/>
        </w:rPr>
        <w:t>II / L’évaluation des coûts et bénéfices non marchands par les méthodes de préférences révélées</w:t>
      </w:r>
    </w:p>
    <w:p w:rsidR="008C72A6" w:rsidRPr="008C72A6" w:rsidRDefault="008C72A6" w:rsidP="008C72A6">
      <w:pPr>
        <w:numPr>
          <w:ilvl w:val="0"/>
          <w:numId w:val="10"/>
        </w:numPr>
        <w:spacing w:after="0" w:line="240" w:lineRule="auto"/>
        <w:rPr>
          <w:rFonts w:ascii="Bookman Old Style" w:hAnsi="Bookman Old Style"/>
        </w:rPr>
      </w:pPr>
      <w:r w:rsidRPr="008C72A6">
        <w:rPr>
          <w:rFonts w:ascii="Bookman Old Style" w:hAnsi="Bookman Old Style"/>
        </w:rPr>
        <w:t>Principe général des méthodes fondées sur les préférences révélées</w:t>
      </w:r>
    </w:p>
    <w:p w:rsidR="008C72A6" w:rsidRPr="008C72A6" w:rsidRDefault="008C72A6" w:rsidP="008C72A6">
      <w:pPr>
        <w:numPr>
          <w:ilvl w:val="0"/>
          <w:numId w:val="10"/>
        </w:numPr>
        <w:spacing w:after="0" w:line="240" w:lineRule="auto"/>
        <w:rPr>
          <w:rFonts w:ascii="Bookman Old Style" w:hAnsi="Bookman Old Style"/>
        </w:rPr>
      </w:pPr>
      <w:r w:rsidRPr="008C72A6">
        <w:rPr>
          <w:rFonts w:ascii="Bookman Old Style" w:hAnsi="Bookman Old Style"/>
        </w:rPr>
        <w:t>La méthode des coûts de transport</w:t>
      </w:r>
    </w:p>
    <w:p w:rsidR="008C72A6" w:rsidRPr="008C72A6" w:rsidRDefault="008C72A6" w:rsidP="008C72A6">
      <w:pPr>
        <w:numPr>
          <w:ilvl w:val="0"/>
          <w:numId w:val="10"/>
        </w:numPr>
        <w:spacing w:after="0" w:line="240" w:lineRule="auto"/>
        <w:rPr>
          <w:rFonts w:ascii="Bookman Old Style" w:hAnsi="Bookman Old Style"/>
        </w:rPr>
      </w:pPr>
      <w:r w:rsidRPr="008C72A6">
        <w:rPr>
          <w:rFonts w:ascii="Bookman Old Style" w:hAnsi="Bookman Old Style"/>
        </w:rPr>
        <w:t>La méthode des prix hédoniques</w:t>
      </w:r>
    </w:p>
    <w:p w:rsidR="008C72A6" w:rsidRPr="008C72A6" w:rsidRDefault="008C72A6" w:rsidP="008C72A6">
      <w:pPr>
        <w:rPr>
          <w:rFonts w:ascii="Bookman Old Style" w:hAnsi="Bookman Old Style"/>
        </w:rPr>
      </w:pPr>
      <w:r w:rsidRPr="008C72A6">
        <w:rPr>
          <w:rFonts w:ascii="Bookman Old Style" w:hAnsi="Bookman Old Style"/>
        </w:rPr>
        <w:t>III / L’évaluation des coûts et bénéfices non marchands par les méthodes de préférences déclarées</w:t>
      </w:r>
    </w:p>
    <w:p w:rsidR="008C72A6" w:rsidRPr="008C72A6" w:rsidRDefault="008C72A6" w:rsidP="008C72A6">
      <w:pPr>
        <w:numPr>
          <w:ilvl w:val="0"/>
          <w:numId w:val="10"/>
        </w:numPr>
        <w:spacing w:after="0" w:line="240" w:lineRule="auto"/>
        <w:rPr>
          <w:rFonts w:ascii="Bookman Old Style" w:hAnsi="Bookman Old Style"/>
        </w:rPr>
      </w:pPr>
      <w:r w:rsidRPr="008C72A6">
        <w:rPr>
          <w:rFonts w:ascii="Bookman Old Style" w:hAnsi="Bookman Old Style"/>
        </w:rPr>
        <w:t>Principe général des méthodes fondées sur les préférences déclarées</w:t>
      </w:r>
    </w:p>
    <w:p w:rsidR="008C72A6" w:rsidRPr="008C72A6" w:rsidRDefault="008C72A6" w:rsidP="008C72A6">
      <w:pPr>
        <w:numPr>
          <w:ilvl w:val="0"/>
          <w:numId w:val="10"/>
        </w:numPr>
        <w:spacing w:after="0" w:line="240" w:lineRule="auto"/>
        <w:rPr>
          <w:rFonts w:ascii="Bookman Old Style" w:hAnsi="Bookman Old Style"/>
        </w:rPr>
      </w:pPr>
      <w:r w:rsidRPr="008C72A6">
        <w:rPr>
          <w:rFonts w:ascii="Bookman Old Style" w:hAnsi="Bookman Old Style"/>
        </w:rPr>
        <w:lastRenderedPageBreak/>
        <w:t>La méthode d’évaluation contingente</w:t>
      </w:r>
    </w:p>
    <w:p w:rsidR="008C72A6" w:rsidRPr="008C72A6" w:rsidRDefault="008C72A6" w:rsidP="008C72A6">
      <w:pPr>
        <w:numPr>
          <w:ilvl w:val="0"/>
          <w:numId w:val="10"/>
        </w:numPr>
        <w:spacing w:after="0" w:line="240" w:lineRule="auto"/>
        <w:rPr>
          <w:rFonts w:ascii="Bookman Old Style" w:hAnsi="Bookman Old Style"/>
        </w:rPr>
      </w:pPr>
      <w:r w:rsidRPr="008C72A6">
        <w:rPr>
          <w:rFonts w:ascii="Bookman Old Style" w:hAnsi="Bookman Old Style"/>
        </w:rPr>
        <w:t>La méthode des choix discrets</w:t>
      </w:r>
    </w:p>
    <w:p w:rsidR="008C72A6" w:rsidRPr="008C72A6" w:rsidRDefault="008C72A6" w:rsidP="008C72A6">
      <w:pPr>
        <w:rPr>
          <w:rFonts w:ascii="Bookman Old Style" w:hAnsi="Bookman Old Style"/>
          <w:vanish/>
        </w:rPr>
      </w:pPr>
    </w:p>
    <w:p w:rsidR="008C72A6" w:rsidRPr="008C72A6" w:rsidRDefault="008C72A6" w:rsidP="008C72A6">
      <w:pPr>
        <w:rPr>
          <w:rFonts w:ascii="Bookman Old Style" w:hAnsi="Bookman Old Style"/>
        </w:rPr>
      </w:pPr>
    </w:p>
    <w:p w:rsidR="008C72A6" w:rsidRPr="008C72A6" w:rsidRDefault="008C72A6" w:rsidP="008C72A6">
      <w:pPr>
        <w:rPr>
          <w:rFonts w:ascii="Bookman Old Style" w:hAnsi="Bookman Old Style"/>
          <w:b/>
        </w:rPr>
      </w:pPr>
      <w:r w:rsidRPr="008C72A6">
        <w:rPr>
          <w:rFonts w:ascii="Bookman Old Style" w:hAnsi="Bookman Old Style"/>
          <w:b/>
        </w:rPr>
        <w:t>Bibliographie</w:t>
      </w:r>
    </w:p>
    <w:p w:rsidR="008C72A6" w:rsidRPr="008C72A6" w:rsidRDefault="008C72A6" w:rsidP="008C72A6">
      <w:pPr>
        <w:numPr>
          <w:ilvl w:val="0"/>
          <w:numId w:val="11"/>
        </w:numPr>
        <w:spacing w:after="0" w:line="240" w:lineRule="auto"/>
        <w:rPr>
          <w:rFonts w:ascii="Bookman Old Style" w:hAnsi="Bookman Old Style"/>
          <w:lang w:val="en-GB"/>
        </w:rPr>
      </w:pPr>
      <w:r w:rsidRPr="008C72A6">
        <w:rPr>
          <w:rFonts w:ascii="Bookman Old Style" w:hAnsi="Bookman Old Style"/>
          <w:lang w:val="en-US"/>
        </w:rPr>
        <w:t xml:space="preserve">Garrod, G., K. G. Willis (1999), </w:t>
      </w:r>
      <w:r w:rsidRPr="008C72A6">
        <w:rPr>
          <w:rFonts w:ascii="Bookman Old Style" w:hAnsi="Bookman Old Style"/>
          <w:i/>
          <w:iCs/>
          <w:lang w:val="en-US"/>
        </w:rPr>
        <w:t>Economic Valuation of the Environment</w:t>
      </w:r>
      <w:r w:rsidRPr="008C72A6">
        <w:rPr>
          <w:rFonts w:ascii="Bookman Old Style" w:hAnsi="Bookman Old Style"/>
          <w:lang w:val="en-US"/>
        </w:rPr>
        <w:t>, Northampton, Edward Elgar Publishing.</w:t>
      </w:r>
    </w:p>
    <w:p w:rsidR="008C72A6" w:rsidRPr="008C72A6" w:rsidRDefault="008C72A6" w:rsidP="008C72A6">
      <w:pPr>
        <w:numPr>
          <w:ilvl w:val="0"/>
          <w:numId w:val="11"/>
        </w:numPr>
        <w:spacing w:after="0" w:line="240" w:lineRule="auto"/>
        <w:rPr>
          <w:rFonts w:ascii="Bookman Old Style" w:hAnsi="Bookman Old Style"/>
          <w:lang w:val="en-GB"/>
        </w:rPr>
      </w:pPr>
      <w:r w:rsidRPr="008C72A6">
        <w:rPr>
          <w:rFonts w:ascii="Bookman Old Style" w:hAnsi="Bookman Old Style"/>
          <w:lang w:val="en-US"/>
        </w:rPr>
        <w:t xml:space="preserve">Hidano, N. (2002), </w:t>
      </w:r>
      <w:r w:rsidRPr="008C72A6">
        <w:rPr>
          <w:rFonts w:ascii="Bookman Old Style" w:hAnsi="Bookman Old Style"/>
          <w:i/>
          <w:iCs/>
          <w:lang w:val="en-US"/>
        </w:rPr>
        <w:t>The Economic Valuation of the Environment and Public Policy</w:t>
      </w:r>
      <w:r w:rsidRPr="008C72A6">
        <w:rPr>
          <w:rFonts w:ascii="Bookman Old Style" w:hAnsi="Bookman Old Style"/>
          <w:lang w:val="en-US"/>
        </w:rPr>
        <w:t>, Northampton, Edward Elgar Publishing.</w:t>
      </w:r>
    </w:p>
    <w:p w:rsidR="008C72A6" w:rsidRPr="008C72A6" w:rsidRDefault="008C72A6" w:rsidP="008C72A6">
      <w:pPr>
        <w:numPr>
          <w:ilvl w:val="0"/>
          <w:numId w:val="11"/>
        </w:numPr>
        <w:spacing w:after="0" w:line="240" w:lineRule="auto"/>
        <w:rPr>
          <w:rFonts w:ascii="Bookman Old Style" w:hAnsi="Bookman Old Style"/>
          <w:lang w:val="en-GB"/>
        </w:rPr>
      </w:pPr>
      <w:r w:rsidRPr="008C72A6">
        <w:rPr>
          <w:rFonts w:ascii="Bookman Old Style" w:hAnsi="Bookman Old Style"/>
          <w:lang w:val="en-US"/>
        </w:rPr>
        <w:t xml:space="preserve">Nas, T. F. (1996), </w:t>
      </w:r>
      <w:r w:rsidRPr="008C72A6">
        <w:rPr>
          <w:rFonts w:ascii="Bookman Old Style" w:hAnsi="Bookman Old Style"/>
          <w:i/>
          <w:iCs/>
          <w:lang w:val="en-US"/>
        </w:rPr>
        <w:t>Cost-Benefit Analysis: Theory and Application</w:t>
      </w:r>
      <w:r w:rsidRPr="008C72A6">
        <w:rPr>
          <w:rFonts w:ascii="Bookman Old Style" w:hAnsi="Bookman Old Style"/>
          <w:lang w:val="en-US"/>
        </w:rPr>
        <w:t>, Thousand Oaks, SAGE Publications.</w:t>
      </w:r>
    </w:p>
    <w:p w:rsidR="008C72A6" w:rsidRPr="008C72A6" w:rsidRDefault="008C72A6" w:rsidP="008C72A6">
      <w:pPr>
        <w:numPr>
          <w:ilvl w:val="0"/>
          <w:numId w:val="11"/>
        </w:numPr>
        <w:spacing w:after="0" w:line="240" w:lineRule="auto"/>
        <w:rPr>
          <w:rFonts w:ascii="Bookman Old Style" w:hAnsi="Bookman Old Style"/>
          <w:lang w:val="en-GB"/>
        </w:rPr>
      </w:pPr>
      <w:r w:rsidRPr="008C72A6">
        <w:rPr>
          <w:rFonts w:ascii="Bookman Old Style" w:hAnsi="Bookman Old Style"/>
          <w:lang w:val="en-US"/>
        </w:rPr>
        <w:t xml:space="preserve">Pearce D., Atkinson G., S. Mourato (2006), </w:t>
      </w:r>
      <w:r w:rsidRPr="008C72A6">
        <w:rPr>
          <w:rFonts w:ascii="Bookman Old Style" w:hAnsi="Bookman Old Style"/>
          <w:i/>
          <w:iCs/>
          <w:lang w:val="en-US"/>
        </w:rPr>
        <w:t>Cost-Benefit Analysis and the Environment: recent developments</w:t>
      </w:r>
      <w:r w:rsidRPr="008C72A6">
        <w:rPr>
          <w:rFonts w:ascii="Bookman Old Style" w:hAnsi="Bookman Old Style"/>
          <w:lang w:val="en-US"/>
        </w:rPr>
        <w:t>, OECD editions, Paris.</w:t>
      </w:r>
    </w:p>
    <w:p w:rsidR="008C72A6" w:rsidRPr="008C72A6" w:rsidRDefault="008C72A6" w:rsidP="008C72A6">
      <w:pPr>
        <w:numPr>
          <w:ilvl w:val="0"/>
          <w:numId w:val="11"/>
        </w:numPr>
        <w:spacing w:after="0" w:line="240" w:lineRule="auto"/>
        <w:rPr>
          <w:rFonts w:ascii="Bookman Old Style" w:hAnsi="Bookman Old Style"/>
          <w:lang w:val="en-GB"/>
        </w:rPr>
      </w:pPr>
      <w:r w:rsidRPr="008C72A6">
        <w:rPr>
          <w:rFonts w:ascii="Bookman Old Style" w:hAnsi="Bookman Old Style"/>
          <w:lang w:val="en-US"/>
        </w:rPr>
        <w:t xml:space="preserve">ZERBE, R. O., A. S. Bellas (2006), </w:t>
      </w:r>
      <w:r w:rsidRPr="008C72A6">
        <w:rPr>
          <w:rFonts w:ascii="Bookman Old Style" w:hAnsi="Bookman Old Style"/>
          <w:i/>
          <w:iCs/>
          <w:lang w:val="en-US"/>
        </w:rPr>
        <w:t>A primer for Cost-Benefit Analysis</w:t>
      </w:r>
      <w:r w:rsidRPr="008C72A6">
        <w:rPr>
          <w:rFonts w:ascii="Bookman Old Style" w:hAnsi="Bookman Old Style"/>
          <w:lang w:val="en-US"/>
        </w:rPr>
        <w:t>, Cheltenham, Edward Elgar Publishing Limited.</w:t>
      </w:r>
    </w:p>
    <w:p w:rsidR="008C72A6" w:rsidRDefault="008C72A6" w:rsidP="008C72A6">
      <w:pPr>
        <w:rPr>
          <w:rFonts w:ascii="Bookman Old Style" w:hAnsi="Bookman Old Style"/>
          <w:lang w:val="en-US"/>
        </w:rPr>
      </w:pPr>
    </w:p>
    <w:p w:rsidR="00251E4E" w:rsidRPr="00A24970" w:rsidRDefault="00251E4E" w:rsidP="008C72A6">
      <w:pPr>
        <w:rPr>
          <w:rFonts w:ascii="Bookman Old Style" w:hAnsi="Bookman Old Style"/>
        </w:rPr>
      </w:pPr>
      <w:r w:rsidRPr="00AE4E48">
        <w:rPr>
          <w:rFonts w:ascii="Bookman Old Style" w:hAnsi="Bookman Old Style"/>
          <w:b/>
        </w:rPr>
        <w:t>Contrôle des connaissances : examen écrit.</w:t>
      </w:r>
    </w:p>
    <w:p w:rsidR="00D527A7" w:rsidRPr="00A24970" w:rsidRDefault="00D527A7">
      <w:pPr>
        <w:rPr>
          <w:rFonts w:ascii="Bookman Old Style" w:eastAsia="Times New Roman" w:hAnsi="Bookman Old Style" w:cs="Times New Roman"/>
          <w:sz w:val="24"/>
          <w:szCs w:val="20"/>
          <w:lang w:eastAsia="fr-FR"/>
        </w:rPr>
      </w:pPr>
      <w:r w:rsidRPr="00A24970">
        <w:rPr>
          <w:rFonts w:ascii="Bookman Old Style" w:hAnsi="Bookman Old Style"/>
        </w:rPr>
        <w:br w:type="page"/>
      </w:r>
    </w:p>
    <w:p w:rsidR="00D527A7" w:rsidRPr="00D527A7" w:rsidRDefault="00D527A7" w:rsidP="00607B97">
      <w:pPr>
        <w:pStyle w:val="Titre3"/>
        <w:ind w:right="0"/>
        <w:jc w:val="center"/>
        <w:rPr>
          <w:rFonts w:ascii="Bookman Old Style" w:hAnsi="Bookman Old Style"/>
          <w:b/>
        </w:rPr>
      </w:pPr>
      <w:r w:rsidRPr="00D527A7">
        <w:rPr>
          <w:rFonts w:ascii="Bookman Old Style" w:hAnsi="Bookman Old Style"/>
          <w:b/>
        </w:rPr>
        <w:lastRenderedPageBreak/>
        <w:t>Jeux et négociations</w:t>
      </w:r>
    </w:p>
    <w:p w:rsidR="00D527A7" w:rsidRPr="003A5071" w:rsidRDefault="00D527A7" w:rsidP="00607B97">
      <w:pPr>
        <w:pStyle w:val="Titre3"/>
        <w:ind w:right="0"/>
        <w:jc w:val="center"/>
        <w:rPr>
          <w:rFonts w:ascii="Bookman Old Style" w:hAnsi="Bookman Old Style"/>
          <w:sz w:val="22"/>
          <w:szCs w:val="22"/>
        </w:rPr>
      </w:pPr>
      <w:r w:rsidRPr="003A5071">
        <w:rPr>
          <w:rFonts w:ascii="Bookman Old Style" w:hAnsi="Bookman Old Style"/>
          <w:b/>
          <w:sz w:val="22"/>
          <w:szCs w:val="22"/>
        </w:rPr>
        <w:t>M S</w:t>
      </w:r>
      <w:r w:rsidR="007B4340" w:rsidRPr="003A5071">
        <w:rPr>
          <w:rFonts w:ascii="Bookman Old Style" w:hAnsi="Bookman Old Style"/>
          <w:b/>
          <w:sz w:val="22"/>
          <w:szCs w:val="22"/>
        </w:rPr>
        <w:t>OUAM</w:t>
      </w:r>
    </w:p>
    <w:p w:rsidR="00D527A7" w:rsidRDefault="00D527A7" w:rsidP="00607B97">
      <w:pPr>
        <w:pStyle w:val="Titre3"/>
        <w:ind w:right="0"/>
        <w:jc w:val="center"/>
        <w:rPr>
          <w:rFonts w:ascii="Bookman Old Style" w:hAnsi="Bookman Old Style"/>
        </w:rPr>
      </w:pPr>
    </w:p>
    <w:p w:rsidR="00D527A7" w:rsidRPr="006F28B6" w:rsidRDefault="00D527A7" w:rsidP="00D527A7">
      <w:pPr>
        <w:rPr>
          <w:rFonts w:ascii="Bookman Old Style" w:hAnsi="Bookman Old Style" w:cs="Times New Roman"/>
        </w:rPr>
      </w:pPr>
      <w:r w:rsidRPr="006F28B6">
        <w:rPr>
          <w:rFonts w:ascii="Bookman Old Style" w:hAnsi="Bookman Old Style" w:cs="Times New Roman"/>
          <w:b/>
        </w:rPr>
        <w:t>Introduction</w:t>
      </w:r>
      <w:r w:rsidRPr="006F28B6">
        <w:rPr>
          <w:rFonts w:ascii="Bookman Old Style" w:hAnsi="Bookman Old Style" w:cs="Times New Roman"/>
        </w:rPr>
        <w:t xml:space="preserve"> </w:t>
      </w:r>
    </w:p>
    <w:p w:rsidR="00D527A7" w:rsidRPr="006F28B6" w:rsidRDefault="00D527A7" w:rsidP="00D527A7">
      <w:pPr>
        <w:rPr>
          <w:rFonts w:ascii="Bookman Old Style" w:hAnsi="Bookman Old Style" w:cs="Times New Roman"/>
        </w:rPr>
      </w:pPr>
      <w:r w:rsidRPr="006F28B6">
        <w:rPr>
          <w:rFonts w:ascii="Bookman Old Style" w:hAnsi="Bookman Old Style" w:cs="Times New Roman"/>
        </w:rPr>
        <w:t xml:space="preserve">Rappels de théorie des jeux de base. </w:t>
      </w:r>
    </w:p>
    <w:p w:rsidR="00D527A7" w:rsidRPr="006F28B6" w:rsidRDefault="00D527A7" w:rsidP="00D527A7">
      <w:pPr>
        <w:rPr>
          <w:rFonts w:ascii="Bookman Old Style" w:hAnsi="Bookman Old Style" w:cs="Times New Roman"/>
          <w:b/>
        </w:rPr>
      </w:pPr>
      <w:r w:rsidRPr="006F28B6">
        <w:rPr>
          <w:rFonts w:ascii="Bookman Old Style" w:hAnsi="Bookman Old Style" w:cs="Times New Roman"/>
          <w:b/>
        </w:rPr>
        <w:t>Chapitre 1 Les raffinements de l’équilibre de Nash</w:t>
      </w:r>
    </w:p>
    <w:p w:rsidR="00D527A7" w:rsidRPr="006F28B6" w:rsidRDefault="00D527A7" w:rsidP="00D527A7">
      <w:pPr>
        <w:rPr>
          <w:rFonts w:ascii="Bookman Old Style" w:hAnsi="Bookman Old Style" w:cs="Times New Roman"/>
        </w:rPr>
      </w:pPr>
      <w:r w:rsidRPr="006F28B6">
        <w:rPr>
          <w:rFonts w:ascii="Bookman Old Style" w:hAnsi="Bookman Old Style" w:cs="Times New Roman"/>
        </w:rPr>
        <w:t>Equilibre parfait en sous-jeux, équilibre séquentiel, équilibre bayésien parfait.</w:t>
      </w:r>
    </w:p>
    <w:p w:rsidR="00D527A7" w:rsidRPr="006F28B6" w:rsidRDefault="00D527A7" w:rsidP="00D527A7">
      <w:pPr>
        <w:rPr>
          <w:rFonts w:ascii="Bookman Old Style" w:hAnsi="Bookman Old Style" w:cs="Times New Roman"/>
          <w:b/>
        </w:rPr>
      </w:pPr>
      <w:r w:rsidRPr="006F28B6">
        <w:rPr>
          <w:rFonts w:ascii="Bookman Old Style" w:hAnsi="Bookman Old Style" w:cs="Times New Roman"/>
          <w:b/>
        </w:rPr>
        <w:t>Chapitre 2 La solution de Nash à la négociation</w:t>
      </w:r>
    </w:p>
    <w:p w:rsidR="00D527A7" w:rsidRPr="006F28B6" w:rsidRDefault="00D527A7" w:rsidP="00D527A7">
      <w:pPr>
        <w:rPr>
          <w:rFonts w:ascii="Bookman Old Style" w:hAnsi="Bookman Old Style" w:cs="Times New Roman"/>
          <w:b/>
        </w:rPr>
      </w:pPr>
      <w:r w:rsidRPr="006F28B6">
        <w:rPr>
          <w:rFonts w:ascii="Bookman Old Style" w:hAnsi="Bookman Old Style" w:cs="Times New Roman"/>
          <w:b/>
        </w:rPr>
        <w:t>Chapitre 3 Le modèle de négociation de Stahl-Rubinstein</w:t>
      </w:r>
    </w:p>
    <w:p w:rsidR="00D527A7" w:rsidRPr="006F28B6" w:rsidRDefault="00D527A7" w:rsidP="00D527A7">
      <w:pPr>
        <w:jc w:val="both"/>
        <w:rPr>
          <w:rFonts w:ascii="Bookman Old Style" w:hAnsi="Bookman Old Style" w:cs="Times New Roman"/>
          <w:b/>
        </w:rPr>
      </w:pPr>
      <w:r w:rsidRPr="006F28B6">
        <w:rPr>
          <w:rFonts w:ascii="Bookman Old Style" w:hAnsi="Bookman Old Style" w:cs="Times New Roman"/>
          <w:b/>
        </w:rPr>
        <w:t>Chapitre 4 Négociations et risques d’échec</w:t>
      </w:r>
    </w:p>
    <w:p w:rsidR="00D527A7" w:rsidRPr="006F28B6" w:rsidRDefault="00D527A7" w:rsidP="00D527A7">
      <w:pPr>
        <w:jc w:val="both"/>
        <w:rPr>
          <w:rFonts w:ascii="Bookman Old Style" w:hAnsi="Bookman Old Style" w:cs="Times New Roman"/>
          <w:b/>
        </w:rPr>
      </w:pPr>
      <w:r w:rsidRPr="006F28B6">
        <w:rPr>
          <w:rFonts w:ascii="Bookman Old Style" w:hAnsi="Bookman Old Style" w:cs="Times New Roman"/>
          <w:b/>
        </w:rPr>
        <w:t xml:space="preserve">Chapitre 5 Négociation et options </w:t>
      </w:r>
    </w:p>
    <w:p w:rsidR="00D527A7" w:rsidRPr="006F28B6" w:rsidRDefault="00D527A7" w:rsidP="00D527A7">
      <w:pPr>
        <w:jc w:val="both"/>
        <w:rPr>
          <w:rFonts w:ascii="Bookman Old Style" w:hAnsi="Bookman Old Style" w:cs="Times New Roman"/>
          <w:b/>
        </w:rPr>
      </w:pPr>
      <w:r w:rsidRPr="006F28B6">
        <w:rPr>
          <w:rFonts w:ascii="Bookman Old Style" w:hAnsi="Bookman Old Style" w:cs="Times New Roman"/>
          <w:b/>
        </w:rPr>
        <w:t>Chapitre 6 Les procédures de négociation</w:t>
      </w:r>
    </w:p>
    <w:p w:rsidR="00D527A7" w:rsidRPr="006F28B6" w:rsidRDefault="00D527A7" w:rsidP="00D527A7">
      <w:pPr>
        <w:jc w:val="both"/>
        <w:rPr>
          <w:rFonts w:ascii="Bookman Old Style" w:hAnsi="Bookman Old Style" w:cs="Times New Roman"/>
          <w:b/>
        </w:rPr>
      </w:pPr>
      <w:r w:rsidRPr="006F28B6">
        <w:rPr>
          <w:rFonts w:ascii="Bookman Old Style" w:hAnsi="Bookman Old Style" w:cs="Times New Roman"/>
          <w:b/>
        </w:rPr>
        <w:t>Chapitre 7 Négociations en asymétrie d’information</w:t>
      </w:r>
    </w:p>
    <w:p w:rsidR="00D527A7" w:rsidRPr="006F28B6" w:rsidRDefault="00D527A7" w:rsidP="00D527A7">
      <w:pPr>
        <w:rPr>
          <w:rFonts w:ascii="Bookman Old Style" w:hAnsi="Bookman Old Style" w:cs="Times New Roman"/>
          <w:b/>
        </w:rPr>
      </w:pPr>
    </w:p>
    <w:p w:rsidR="00D527A7" w:rsidRPr="006F28B6" w:rsidRDefault="00D527A7" w:rsidP="00D527A7">
      <w:pPr>
        <w:rPr>
          <w:rFonts w:ascii="Bookman Old Style" w:hAnsi="Bookman Old Style" w:cs="Times New Roman"/>
          <w:b/>
          <w:lang w:val="en-US"/>
        </w:rPr>
      </w:pPr>
      <w:r w:rsidRPr="006F28B6">
        <w:rPr>
          <w:rFonts w:ascii="Bookman Old Style" w:hAnsi="Bookman Old Style" w:cs="Times New Roman"/>
          <w:b/>
          <w:lang w:val="en-US"/>
        </w:rPr>
        <w:t>Bibliographie succincte</w:t>
      </w:r>
    </w:p>
    <w:p w:rsidR="00D527A7" w:rsidRPr="006F28B6" w:rsidRDefault="00D527A7" w:rsidP="00D527A7">
      <w:pPr>
        <w:rPr>
          <w:rFonts w:ascii="Bookman Old Style" w:hAnsi="Bookman Old Style" w:cs="Times New Roman"/>
          <w:lang w:val="en-US"/>
        </w:rPr>
      </w:pPr>
      <w:r w:rsidRPr="006F28B6">
        <w:rPr>
          <w:rFonts w:ascii="Bookman Old Style" w:hAnsi="Bookman Old Style" w:cs="Times New Roman"/>
          <w:lang w:val="en-US"/>
        </w:rPr>
        <w:t xml:space="preserve">Muthoo, Abhinay, </w:t>
      </w:r>
      <w:r w:rsidRPr="006F28B6">
        <w:rPr>
          <w:rFonts w:ascii="Bookman Old Style" w:hAnsi="Bookman Old Style" w:cs="Times New Roman"/>
          <w:i/>
          <w:lang w:val="en-US"/>
        </w:rPr>
        <w:t>Bargaining Theory with Applications</w:t>
      </w:r>
      <w:r w:rsidRPr="006F28B6">
        <w:rPr>
          <w:rFonts w:ascii="Bookman Old Style" w:hAnsi="Bookman Old Style" w:cs="Times New Roman"/>
          <w:lang w:val="en-US"/>
        </w:rPr>
        <w:t>, Cambridge University Press, 2002.</w:t>
      </w:r>
    </w:p>
    <w:p w:rsidR="00D527A7" w:rsidRPr="006F28B6" w:rsidRDefault="00D527A7" w:rsidP="00D527A7">
      <w:pPr>
        <w:rPr>
          <w:rFonts w:ascii="Bookman Old Style" w:hAnsi="Bookman Old Style" w:cs="Times New Roman"/>
          <w:lang w:val="en-US"/>
        </w:rPr>
      </w:pPr>
      <w:r w:rsidRPr="006F28B6">
        <w:rPr>
          <w:rFonts w:ascii="Bookman Old Style" w:hAnsi="Bookman Old Style" w:cs="Times New Roman"/>
          <w:lang w:val="en-US"/>
        </w:rPr>
        <w:t xml:space="preserve">Brams, Steven J., </w:t>
      </w:r>
      <w:r w:rsidRPr="006F28B6">
        <w:rPr>
          <w:rFonts w:ascii="Bookman Old Style" w:hAnsi="Bookman Old Style" w:cs="Times New Roman"/>
          <w:i/>
          <w:lang w:val="en-US"/>
        </w:rPr>
        <w:t>Negotiation Games. Applying Game Theory to Bargaining and Arbitration</w:t>
      </w:r>
      <w:r w:rsidRPr="006F28B6">
        <w:rPr>
          <w:rFonts w:ascii="Bookman Old Style" w:hAnsi="Bookman Old Style" w:cs="Times New Roman"/>
          <w:lang w:val="en-US"/>
        </w:rPr>
        <w:t>, Routledge Advances in Game Theory, 2003.</w:t>
      </w:r>
    </w:p>
    <w:p w:rsidR="00D527A7" w:rsidRPr="006F28B6" w:rsidRDefault="00D527A7" w:rsidP="00D527A7">
      <w:pPr>
        <w:jc w:val="both"/>
        <w:rPr>
          <w:rFonts w:ascii="Bookman Old Style" w:hAnsi="Bookman Old Style" w:cs="Times New Roman"/>
          <w:lang w:val="en-US"/>
        </w:rPr>
      </w:pPr>
      <w:r w:rsidRPr="006F28B6">
        <w:rPr>
          <w:rFonts w:ascii="Bookman Old Style" w:hAnsi="Bookman Old Style" w:cs="Times New Roman"/>
          <w:lang w:val="en-GB"/>
        </w:rPr>
        <w:t xml:space="preserve">Gibbons, Robert, </w:t>
      </w:r>
      <w:r w:rsidRPr="006F28B6">
        <w:rPr>
          <w:rFonts w:ascii="Bookman Old Style" w:hAnsi="Bookman Old Style" w:cs="Times New Roman"/>
          <w:i/>
          <w:iCs/>
          <w:lang w:val="en-GB"/>
        </w:rPr>
        <w:t>A Primer in Game Theory</w:t>
      </w:r>
      <w:r w:rsidRPr="006F28B6">
        <w:rPr>
          <w:rFonts w:ascii="Bookman Old Style" w:hAnsi="Bookman Old Style" w:cs="Times New Roman"/>
          <w:lang w:val="en-GB"/>
        </w:rPr>
        <w:t xml:space="preserve">. </w:t>
      </w:r>
      <w:r w:rsidRPr="006F28B6">
        <w:rPr>
          <w:rFonts w:ascii="Bookman Old Style" w:hAnsi="Bookman Old Style" w:cs="Times New Roman"/>
          <w:lang w:val="en-US"/>
        </w:rPr>
        <w:t>Harvester Wheatsheaf, 1992.</w:t>
      </w:r>
    </w:p>
    <w:p w:rsidR="00D527A7" w:rsidRPr="00B91A93" w:rsidRDefault="00D527A7" w:rsidP="00D527A7">
      <w:pPr>
        <w:jc w:val="both"/>
        <w:rPr>
          <w:rFonts w:ascii="Bookman Old Style" w:hAnsi="Bookman Old Style" w:cs="Times New Roman"/>
        </w:rPr>
      </w:pPr>
      <w:r w:rsidRPr="006F28B6">
        <w:rPr>
          <w:rFonts w:ascii="Bookman Old Style" w:hAnsi="Bookman Old Style" w:cs="Times New Roman"/>
          <w:lang w:val="en-US"/>
        </w:rPr>
        <w:t xml:space="preserve">Fudenberg, Drew et Jean Tirole. </w:t>
      </w:r>
      <w:r w:rsidRPr="006F28B6">
        <w:rPr>
          <w:rFonts w:ascii="Bookman Old Style" w:hAnsi="Bookman Old Style" w:cs="Times New Roman"/>
          <w:i/>
          <w:iCs/>
          <w:lang w:val="en-GB"/>
        </w:rPr>
        <w:t>Game Theory</w:t>
      </w:r>
      <w:r w:rsidRPr="006F28B6">
        <w:rPr>
          <w:rFonts w:ascii="Bookman Old Style" w:hAnsi="Bookman Old Style" w:cs="Times New Roman"/>
          <w:lang w:val="en-GB"/>
        </w:rPr>
        <w:t xml:space="preserve">. </w:t>
      </w:r>
      <w:r w:rsidRPr="00B91A93">
        <w:rPr>
          <w:rFonts w:ascii="Bookman Old Style" w:hAnsi="Bookman Old Style" w:cs="Times New Roman"/>
        </w:rPr>
        <w:t>The MIT Press, 1991.</w:t>
      </w:r>
    </w:p>
    <w:p w:rsidR="00251E4E" w:rsidRDefault="00251E4E">
      <w:pPr>
        <w:rPr>
          <w:rFonts w:ascii="Bookman Old Style" w:hAnsi="Bookman Old Style"/>
        </w:rPr>
      </w:pPr>
    </w:p>
    <w:p w:rsidR="00D527A7" w:rsidRDefault="00251E4E">
      <w:pPr>
        <w:rPr>
          <w:rFonts w:ascii="Bookman Old Style" w:eastAsia="Times New Roman" w:hAnsi="Bookman Old Style" w:cs="Times New Roman"/>
          <w:sz w:val="24"/>
          <w:szCs w:val="20"/>
          <w:lang w:eastAsia="fr-FR"/>
        </w:rPr>
      </w:pPr>
      <w:r w:rsidRPr="00AE4E48">
        <w:rPr>
          <w:rFonts w:ascii="Bookman Old Style" w:hAnsi="Bookman Old Style"/>
          <w:b/>
        </w:rPr>
        <w:t xml:space="preserve">Contrôle des connaissances : </w:t>
      </w:r>
      <w:r>
        <w:rPr>
          <w:rFonts w:ascii="Bookman Old Style" w:hAnsi="Bookman Old Style"/>
          <w:b/>
        </w:rPr>
        <w:t xml:space="preserve">exposé et </w:t>
      </w:r>
      <w:r w:rsidRPr="00AE4E48">
        <w:rPr>
          <w:rFonts w:ascii="Bookman Old Style" w:hAnsi="Bookman Old Style"/>
          <w:b/>
        </w:rPr>
        <w:t>examen écrit.</w:t>
      </w:r>
      <w:r w:rsidR="00D527A7">
        <w:rPr>
          <w:rFonts w:ascii="Bookman Old Style" w:hAnsi="Bookman Old Style"/>
        </w:rPr>
        <w:br w:type="page"/>
      </w:r>
    </w:p>
    <w:p w:rsidR="00E84A44" w:rsidRDefault="005B240C" w:rsidP="00607B97">
      <w:pPr>
        <w:pStyle w:val="Titre3"/>
        <w:ind w:right="0"/>
        <w:jc w:val="center"/>
        <w:rPr>
          <w:rFonts w:ascii="Bookman Old Style" w:hAnsi="Bookman Old Style"/>
          <w:b/>
          <w:sz w:val="22"/>
          <w:szCs w:val="22"/>
        </w:rPr>
      </w:pPr>
      <w:r w:rsidRPr="005B240C">
        <w:rPr>
          <w:rFonts w:ascii="Bookman Old Style" w:hAnsi="Bookman Old Style"/>
          <w:b/>
          <w:sz w:val="22"/>
          <w:szCs w:val="22"/>
        </w:rPr>
        <w:lastRenderedPageBreak/>
        <w:t>Politique Européenne de la Concurrence</w:t>
      </w:r>
    </w:p>
    <w:p w:rsidR="005B240C" w:rsidRPr="005B240C" w:rsidRDefault="007B4340" w:rsidP="00607B97">
      <w:pPr>
        <w:pStyle w:val="Titre3"/>
        <w:ind w:right="0"/>
        <w:jc w:val="center"/>
        <w:rPr>
          <w:rFonts w:ascii="Bookman Old Style" w:hAnsi="Bookman Old Style"/>
          <w:b/>
          <w:sz w:val="22"/>
          <w:szCs w:val="22"/>
        </w:rPr>
      </w:pPr>
      <w:r>
        <w:rPr>
          <w:rFonts w:ascii="Bookman Old Style" w:hAnsi="Bookman Old Style"/>
          <w:b/>
          <w:sz w:val="22"/>
          <w:szCs w:val="22"/>
        </w:rPr>
        <w:t xml:space="preserve">Mme </w:t>
      </w:r>
      <w:r w:rsidR="005B240C" w:rsidRPr="005B240C">
        <w:rPr>
          <w:rFonts w:ascii="Bookman Old Style" w:hAnsi="Bookman Old Style"/>
          <w:b/>
          <w:sz w:val="22"/>
          <w:szCs w:val="22"/>
        </w:rPr>
        <w:t>COSNITA</w:t>
      </w:r>
    </w:p>
    <w:p w:rsidR="005B240C" w:rsidRPr="00902F58" w:rsidRDefault="005B240C" w:rsidP="005B240C">
      <w:pPr>
        <w:rPr>
          <w:rFonts w:ascii="Bookman Old Style" w:hAnsi="Bookman Old Style"/>
          <w:b/>
          <w:u w:val="single"/>
        </w:rPr>
      </w:pPr>
    </w:p>
    <w:p w:rsidR="00D527A7" w:rsidRPr="00A97131" w:rsidRDefault="00D527A7" w:rsidP="00D527A7">
      <w:pPr>
        <w:rPr>
          <w:rFonts w:ascii="Bookman Old Style" w:hAnsi="Bookman Old Style"/>
          <w:b/>
          <w:u w:val="single"/>
        </w:rPr>
      </w:pPr>
      <w:r w:rsidRPr="00A97131">
        <w:rPr>
          <w:rFonts w:ascii="Bookman Old Style" w:hAnsi="Bookman Old Style"/>
          <w:b/>
          <w:u w:val="single"/>
        </w:rPr>
        <w:t>OBJECTIFS PEDAGOGIQUES :</w:t>
      </w:r>
    </w:p>
    <w:p w:rsidR="00D527A7" w:rsidRPr="00A97131" w:rsidRDefault="00D527A7" w:rsidP="00D527A7">
      <w:pPr>
        <w:autoSpaceDE w:val="0"/>
        <w:autoSpaceDN w:val="0"/>
        <w:adjustRightInd w:val="0"/>
        <w:jc w:val="both"/>
        <w:rPr>
          <w:rFonts w:ascii="Bookman Old Style" w:hAnsi="Bookman Old Style"/>
        </w:rPr>
      </w:pPr>
      <w:r w:rsidRPr="00A97131">
        <w:rPr>
          <w:rFonts w:ascii="Bookman Old Style" w:hAnsi="Bookman Old Style"/>
        </w:rPr>
        <w:t xml:space="preserve">Ce cours se propose de former les étudiants à la pratique de la politique de la concurrence européenne, du point de vue de l’analyse économique sous-jacente, et accessoirement de les préparer pour réaliser des thèses professionnelles en relation avec des entreprises et des autorités de la concurrence. Les séances combinent l’enseignement de la théorie avec la présentation d’études de cas illustrant la mise en ouvre de la politique de la concurrence et la traduction en pratique des résultats de la théorie économique. </w:t>
      </w:r>
    </w:p>
    <w:p w:rsidR="00D527A7" w:rsidRPr="00A97131" w:rsidRDefault="00D527A7" w:rsidP="00D527A7">
      <w:pPr>
        <w:jc w:val="both"/>
        <w:rPr>
          <w:rFonts w:ascii="Bookman Old Style" w:hAnsi="Bookman Old Style"/>
        </w:rPr>
      </w:pPr>
    </w:p>
    <w:p w:rsidR="00D527A7" w:rsidRPr="00A97131" w:rsidRDefault="00D527A7" w:rsidP="00D527A7">
      <w:pPr>
        <w:jc w:val="center"/>
        <w:rPr>
          <w:rFonts w:ascii="Bookman Old Style" w:hAnsi="Bookman Old Style"/>
          <w:b/>
          <w:u w:val="single"/>
        </w:rPr>
      </w:pPr>
      <w:r w:rsidRPr="00A97131">
        <w:rPr>
          <w:rFonts w:ascii="Bookman Old Style" w:hAnsi="Bookman Old Style"/>
          <w:b/>
          <w:u w:val="single"/>
        </w:rPr>
        <w:t>PLAN DU COURS :</w:t>
      </w:r>
    </w:p>
    <w:p w:rsidR="00D527A7" w:rsidRPr="00A97131" w:rsidRDefault="00D527A7" w:rsidP="00D527A7">
      <w:pPr>
        <w:jc w:val="both"/>
        <w:rPr>
          <w:rFonts w:ascii="Bookman Old Style" w:hAnsi="Bookman Old Style"/>
          <w:b/>
        </w:rPr>
      </w:pPr>
      <w:r w:rsidRPr="00A97131">
        <w:rPr>
          <w:rFonts w:ascii="Bookman Old Style" w:hAnsi="Bookman Old Style"/>
          <w:b/>
        </w:rPr>
        <w:t xml:space="preserve">Introduction </w:t>
      </w:r>
    </w:p>
    <w:p w:rsidR="00D527A7" w:rsidRPr="00A97131" w:rsidRDefault="00D527A7" w:rsidP="00D527A7">
      <w:pPr>
        <w:numPr>
          <w:ilvl w:val="0"/>
          <w:numId w:val="6"/>
        </w:numPr>
        <w:autoSpaceDE w:val="0"/>
        <w:autoSpaceDN w:val="0"/>
        <w:adjustRightInd w:val="0"/>
        <w:spacing w:after="0"/>
        <w:ind w:left="1065"/>
        <w:rPr>
          <w:rFonts w:ascii="Bookman Old Style" w:hAnsi="Bookman Old Style"/>
          <w:bCs/>
        </w:rPr>
      </w:pPr>
      <w:r w:rsidRPr="00A97131">
        <w:rPr>
          <w:rFonts w:ascii="Bookman Old Style" w:hAnsi="Bookman Old Style"/>
          <w:bCs/>
        </w:rPr>
        <w:t>Origines, évolution, objectifs des politiques de la concurrence</w:t>
      </w:r>
    </w:p>
    <w:p w:rsidR="00D527A7" w:rsidRPr="00A97131" w:rsidRDefault="00D527A7" w:rsidP="00D527A7">
      <w:pPr>
        <w:numPr>
          <w:ilvl w:val="0"/>
          <w:numId w:val="6"/>
        </w:numPr>
        <w:autoSpaceDE w:val="0"/>
        <w:autoSpaceDN w:val="0"/>
        <w:adjustRightInd w:val="0"/>
        <w:spacing w:after="0"/>
        <w:ind w:left="1065"/>
        <w:rPr>
          <w:rFonts w:ascii="Bookman Old Style" w:hAnsi="Bookman Old Style"/>
          <w:bCs/>
        </w:rPr>
      </w:pPr>
      <w:r w:rsidRPr="00A97131">
        <w:rPr>
          <w:rFonts w:ascii="Bookman Old Style" w:hAnsi="Bookman Old Style"/>
          <w:bCs/>
        </w:rPr>
        <w:t>Cadre légal et procédures en Europe</w:t>
      </w:r>
    </w:p>
    <w:p w:rsidR="00D527A7" w:rsidRPr="00A97131" w:rsidRDefault="00D527A7" w:rsidP="00D527A7">
      <w:pPr>
        <w:rPr>
          <w:rFonts w:ascii="Bookman Old Style" w:hAnsi="Bookman Old Style"/>
          <w:b/>
        </w:rPr>
      </w:pPr>
      <w:r w:rsidRPr="00A97131">
        <w:rPr>
          <w:rFonts w:ascii="Bookman Old Style" w:hAnsi="Bookman Old Style"/>
          <w:b/>
        </w:rPr>
        <w:t>Partie I – Contrôle des comportements en Europe (Art. 101 et 102 TFUE)</w:t>
      </w:r>
    </w:p>
    <w:p w:rsidR="00D527A7" w:rsidRPr="00A97131" w:rsidRDefault="00D527A7" w:rsidP="00D527A7">
      <w:pPr>
        <w:numPr>
          <w:ilvl w:val="0"/>
          <w:numId w:val="6"/>
        </w:numPr>
        <w:spacing w:after="0"/>
        <w:ind w:left="1065"/>
        <w:rPr>
          <w:rFonts w:ascii="Bookman Old Style" w:hAnsi="Bookman Old Style"/>
        </w:rPr>
      </w:pPr>
      <w:r w:rsidRPr="00A97131">
        <w:rPr>
          <w:rFonts w:ascii="Bookman Old Style" w:hAnsi="Bookman Old Style"/>
        </w:rPr>
        <w:t xml:space="preserve">Les accords de coopération horizontaux </w:t>
      </w:r>
    </w:p>
    <w:p w:rsidR="00D527A7" w:rsidRPr="00A97131" w:rsidRDefault="00D527A7" w:rsidP="00D527A7">
      <w:pPr>
        <w:rPr>
          <w:rFonts w:ascii="Bookman Old Style" w:hAnsi="Bookman Old Style"/>
        </w:rPr>
      </w:pPr>
      <w:r w:rsidRPr="00A97131">
        <w:rPr>
          <w:rFonts w:ascii="Bookman Old Style" w:hAnsi="Bookman Old Style"/>
        </w:rPr>
        <w:tab/>
      </w:r>
      <w:r w:rsidRPr="00A97131">
        <w:rPr>
          <w:rFonts w:ascii="Bookman Old Style" w:hAnsi="Bookman Old Style"/>
        </w:rPr>
        <w:tab/>
        <w:t>Cartels : Stratégies de détection et design des programmes de clémence</w:t>
      </w:r>
    </w:p>
    <w:p w:rsidR="00D527A7" w:rsidRPr="00A97131" w:rsidRDefault="00D527A7" w:rsidP="00D527A7">
      <w:pPr>
        <w:ind w:left="2124"/>
        <w:rPr>
          <w:rFonts w:ascii="Bookman Old Style" w:hAnsi="Bookman Old Style"/>
        </w:rPr>
      </w:pPr>
      <w:r w:rsidRPr="00A97131">
        <w:rPr>
          <w:rFonts w:ascii="Bookman Old Style" w:hAnsi="Bookman Old Style"/>
        </w:rPr>
        <w:t xml:space="preserve">  Pénalités optimales et sanctions réelles</w:t>
      </w:r>
    </w:p>
    <w:p w:rsidR="00D527A7" w:rsidRPr="00A97131" w:rsidRDefault="00D527A7" w:rsidP="00D527A7">
      <w:pPr>
        <w:rPr>
          <w:rFonts w:ascii="Bookman Old Style" w:hAnsi="Bookman Old Style"/>
        </w:rPr>
      </w:pPr>
      <w:r w:rsidRPr="00A97131">
        <w:rPr>
          <w:rFonts w:ascii="Bookman Old Style" w:hAnsi="Bookman Old Style"/>
        </w:rPr>
        <w:tab/>
      </w:r>
      <w:r w:rsidRPr="00A97131">
        <w:rPr>
          <w:rFonts w:ascii="Bookman Old Style" w:hAnsi="Bookman Old Style"/>
        </w:rPr>
        <w:tab/>
        <w:t>Coopérations horizontales licites et les exemptions collectives</w:t>
      </w:r>
    </w:p>
    <w:p w:rsidR="00D527A7" w:rsidRPr="00A97131" w:rsidRDefault="00D527A7" w:rsidP="00D527A7">
      <w:pPr>
        <w:numPr>
          <w:ilvl w:val="0"/>
          <w:numId w:val="6"/>
        </w:numPr>
        <w:spacing w:after="0"/>
        <w:ind w:left="1065"/>
        <w:rPr>
          <w:rFonts w:ascii="Bookman Old Style" w:hAnsi="Bookman Old Style"/>
        </w:rPr>
      </w:pPr>
      <w:r w:rsidRPr="00A97131">
        <w:rPr>
          <w:rFonts w:ascii="Bookman Old Style" w:hAnsi="Bookman Old Style"/>
        </w:rPr>
        <w:t xml:space="preserve">Les comportements verticaux : les relations entre fournisseurs et distributeurs </w:t>
      </w:r>
    </w:p>
    <w:p w:rsidR="00D527A7" w:rsidRPr="00A97131" w:rsidRDefault="00D527A7" w:rsidP="00D527A7">
      <w:pPr>
        <w:rPr>
          <w:rFonts w:ascii="Bookman Old Style" w:hAnsi="Bookman Old Style"/>
        </w:rPr>
      </w:pPr>
      <w:r w:rsidRPr="00A97131">
        <w:rPr>
          <w:rFonts w:ascii="Bookman Old Style" w:hAnsi="Bookman Old Style"/>
        </w:rPr>
        <w:tab/>
      </w:r>
      <w:r w:rsidRPr="00A97131">
        <w:rPr>
          <w:rFonts w:ascii="Bookman Old Style" w:hAnsi="Bookman Old Style"/>
        </w:rPr>
        <w:tab/>
        <w:t>Bilan concurrentiel des pratiques restrictives et remèdes</w:t>
      </w:r>
    </w:p>
    <w:p w:rsidR="00D527A7" w:rsidRPr="00A97131" w:rsidRDefault="00D527A7" w:rsidP="00D527A7">
      <w:pPr>
        <w:numPr>
          <w:ilvl w:val="0"/>
          <w:numId w:val="6"/>
        </w:numPr>
        <w:spacing w:after="0"/>
        <w:ind w:left="1065"/>
        <w:rPr>
          <w:rFonts w:ascii="Bookman Old Style" w:hAnsi="Bookman Old Style"/>
        </w:rPr>
      </w:pPr>
      <w:r w:rsidRPr="00A97131">
        <w:rPr>
          <w:rFonts w:ascii="Bookman Old Style" w:hAnsi="Bookman Old Style"/>
        </w:rPr>
        <w:t>La monopolisation du marché et l’abus de position dominante</w:t>
      </w:r>
    </w:p>
    <w:p w:rsidR="00D527A7" w:rsidRPr="00A97131" w:rsidRDefault="00D527A7" w:rsidP="00D527A7">
      <w:pPr>
        <w:rPr>
          <w:rFonts w:ascii="Bookman Old Style" w:hAnsi="Bookman Old Style"/>
        </w:rPr>
      </w:pPr>
      <w:r w:rsidRPr="00A97131">
        <w:rPr>
          <w:rFonts w:ascii="Bookman Old Style" w:hAnsi="Bookman Old Style"/>
        </w:rPr>
        <w:tab/>
      </w:r>
      <w:r w:rsidRPr="00A97131">
        <w:rPr>
          <w:rFonts w:ascii="Bookman Old Style" w:hAnsi="Bookman Old Style"/>
        </w:rPr>
        <w:tab/>
        <w:t>Doctrine des infrastructures essentielles et refus de transaction</w:t>
      </w:r>
    </w:p>
    <w:p w:rsidR="00D527A7" w:rsidRPr="00A97131" w:rsidRDefault="00D527A7" w:rsidP="00D527A7">
      <w:pPr>
        <w:rPr>
          <w:rFonts w:ascii="Bookman Old Style" w:hAnsi="Bookman Old Style"/>
        </w:rPr>
      </w:pPr>
      <w:r w:rsidRPr="00A97131">
        <w:rPr>
          <w:rFonts w:ascii="Bookman Old Style" w:hAnsi="Bookman Old Style"/>
        </w:rPr>
        <w:tab/>
      </w:r>
      <w:r w:rsidRPr="00A97131">
        <w:rPr>
          <w:rFonts w:ascii="Bookman Old Style" w:hAnsi="Bookman Old Style"/>
        </w:rPr>
        <w:tab/>
        <w:t>Les pratiques d'exclusion (ventes liées, prédation</w:t>
      </w:r>
      <w:r w:rsidRPr="00A97131">
        <w:rPr>
          <w:rFonts w:ascii="Bookman Old Style" w:hAnsi="Bookman Old Style"/>
          <w:color w:val="000066"/>
        </w:rPr>
        <w:t xml:space="preserve">, </w:t>
      </w:r>
      <w:r w:rsidRPr="00A97131">
        <w:rPr>
          <w:rFonts w:ascii="Bookman Old Style" w:hAnsi="Bookman Old Style"/>
        </w:rPr>
        <w:t>prix discriminatoires)</w:t>
      </w:r>
    </w:p>
    <w:p w:rsidR="00D527A7" w:rsidRPr="00A97131" w:rsidRDefault="00D527A7" w:rsidP="00D527A7">
      <w:pPr>
        <w:rPr>
          <w:rFonts w:ascii="Bookman Old Style" w:hAnsi="Bookman Old Style"/>
          <w:b/>
        </w:rPr>
      </w:pPr>
      <w:r w:rsidRPr="00A97131">
        <w:rPr>
          <w:rFonts w:ascii="Bookman Old Style" w:hAnsi="Bookman Old Style"/>
          <w:b/>
        </w:rPr>
        <w:t>Partie II – Contrôles des structures de marché</w:t>
      </w:r>
    </w:p>
    <w:p w:rsidR="00D527A7" w:rsidRPr="00A97131" w:rsidRDefault="00D527A7" w:rsidP="00D527A7">
      <w:pPr>
        <w:numPr>
          <w:ilvl w:val="0"/>
          <w:numId w:val="6"/>
        </w:numPr>
        <w:spacing w:after="0"/>
        <w:ind w:left="1065"/>
        <w:rPr>
          <w:rFonts w:ascii="Bookman Old Style" w:hAnsi="Bookman Old Style"/>
        </w:rPr>
      </w:pPr>
      <w:r w:rsidRPr="00A97131">
        <w:rPr>
          <w:rFonts w:ascii="Bookman Old Style" w:hAnsi="Bookman Old Style"/>
        </w:rPr>
        <w:t xml:space="preserve">Les opérations de concentration horizontale en Europe </w:t>
      </w:r>
      <w:r w:rsidRPr="00A97131">
        <w:rPr>
          <w:rFonts w:ascii="Bookman Old Style" w:hAnsi="Bookman Old Style"/>
          <w:b/>
        </w:rPr>
        <w:t>(Règlement UE 139/2004)</w:t>
      </w:r>
    </w:p>
    <w:p w:rsidR="00D527A7" w:rsidRPr="00A97131" w:rsidRDefault="00D527A7" w:rsidP="00D527A7">
      <w:pPr>
        <w:autoSpaceDE w:val="0"/>
        <w:autoSpaceDN w:val="0"/>
        <w:adjustRightInd w:val="0"/>
        <w:rPr>
          <w:rFonts w:ascii="Bookman Old Style" w:hAnsi="Bookman Old Style"/>
        </w:rPr>
      </w:pPr>
      <w:r w:rsidRPr="00A97131">
        <w:rPr>
          <w:rFonts w:ascii="Bookman Old Style" w:hAnsi="Bookman Old Style"/>
        </w:rPr>
        <w:tab/>
      </w:r>
      <w:r w:rsidRPr="00A97131">
        <w:rPr>
          <w:rFonts w:ascii="Bookman Old Style" w:hAnsi="Bookman Old Style"/>
        </w:rPr>
        <w:tab/>
        <w:t>Bilan concurrentiel et performance du contrôle des concentrations</w:t>
      </w:r>
    </w:p>
    <w:p w:rsidR="00D527A7" w:rsidRPr="00A97131" w:rsidRDefault="00D527A7" w:rsidP="00D527A7">
      <w:pPr>
        <w:rPr>
          <w:rFonts w:ascii="Bookman Old Style" w:hAnsi="Bookman Old Style"/>
        </w:rPr>
      </w:pPr>
      <w:r w:rsidRPr="00A97131">
        <w:rPr>
          <w:rFonts w:ascii="Bookman Old Style" w:hAnsi="Bookman Old Style"/>
        </w:rPr>
        <w:tab/>
      </w:r>
      <w:r w:rsidRPr="00A97131">
        <w:rPr>
          <w:rFonts w:ascii="Bookman Old Style" w:hAnsi="Bookman Old Style"/>
        </w:rPr>
        <w:tab/>
        <w:t>Processus décisionnel et design de la procédure</w:t>
      </w:r>
    </w:p>
    <w:p w:rsidR="00D527A7" w:rsidRPr="00A97131" w:rsidRDefault="00D527A7" w:rsidP="00D527A7">
      <w:pPr>
        <w:numPr>
          <w:ilvl w:val="0"/>
          <w:numId w:val="6"/>
        </w:numPr>
        <w:spacing w:after="0"/>
        <w:ind w:left="1065"/>
        <w:rPr>
          <w:rFonts w:ascii="Bookman Old Style" w:hAnsi="Bookman Old Style"/>
        </w:rPr>
      </w:pPr>
      <w:r w:rsidRPr="00A97131">
        <w:rPr>
          <w:rFonts w:ascii="Bookman Old Style" w:hAnsi="Bookman Old Style"/>
        </w:rPr>
        <w:t xml:space="preserve">Les aides d’Etat européennes </w:t>
      </w:r>
      <w:r w:rsidRPr="00A97131">
        <w:rPr>
          <w:rFonts w:ascii="Bookman Old Style" w:hAnsi="Bookman Old Style"/>
          <w:b/>
        </w:rPr>
        <w:t>(Art. 107-109 TFUE)</w:t>
      </w:r>
    </w:p>
    <w:p w:rsidR="00D527A7" w:rsidRPr="00A97131" w:rsidRDefault="00D527A7" w:rsidP="00D527A7">
      <w:pPr>
        <w:rPr>
          <w:rFonts w:ascii="Bookman Old Style" w:hAnsi="Bookman Old Style"/>
        </w:rPr>
      </w:pPr>
      <w:r w:rsidRPr="00A97131">
        <w:rPr>
          <w:rFonts w:ascii="Bookman Old Style" w:hAnsi="Bookman Old Style"/>
        </w:rPr>
        <w:lastRenderedPageBreak/>
        <w:tab/>
      </w:r>
      <w:r w:rsidRPr="00A97131">
        <w:rPr>
          <w:rFonts w:ascii="Bookman Old Style" w:hAnsi="Bookman Old Style"/>
        </w:rPr>
        <w:tab/>
        <w:t>Procédure et enjeux</w:t>
      </w:r>
    </w:p>
    <w:p w:rsidR="00D527A7" w:rsidRPr="00A97131" w:rsidRDefault="00D527A7" w:rsidP="00D527A7">
      <w:pPr>
        <w:rPr>
          <w:rFonts w:ascii="Bookman Old Style" w:hAnsi="Bookman Old Style"/>
          <w:b/>
        </w:rPr>
      </w:pPr>
      <w:r w:rsidRPr="00A97131">
        <w:rPr>
          <w:rFonts w:ascii="Bookman Old Style" w:hAnsi="Bookman Old Style"/>
          <w:b/>
        </w:rPr>
        <w:t>Partie III – Approfondissements</w:t>
      </w:r>
    </w:p>
    <w:p w:rsidR="00D527A7" w:rsidRPr="00A97131" w:rsidRDefault="00D527A7" w:rsidP="00D527A7">
      <w:pPr>
        <w:numPr>
          <w:ilvl w:val="0"/>
          <w:numId w:val="6"/>
        </w:numPr>
        <w:spacing w:after="0"/>
        <w:ind w:left="1065"/>
        <w:rPr>
          <w:rFonts w:ascii="Bookman Old Style" w:hAnsi="Bookman Old Style"/>
        </w:rPr>
      </w:pPr>
      <w:r w:rsidRPr="00A97131">
        <w:rPr>
          <w:rFonts w:ascii="Bookman Old Style" w:hAnsi="Bookman Old Style"/>
        </w:rPr>
        <w:t>Interactions entre les branches de la politique de la concurrence</w:t>
      </w:r>
    </w:p>
    <w:p w:rsidR="00D527A7" w:rsidRPr="00A97131" w:rsidRDefault="00D527A7" w:rsidP="00D527A7">
      <w:pPr>
        <w:numPr>
          <w:ilvl w:val="0"/>
          <w:numId w:val="6"/>
        </w:numPr>
        <w:spacing w:after="0"/>
        <w:ind w:left="1065"/>
        <w:rPr>
          <w:rFonts w:ascii="Bookman Old Style" w:hAnsi="Bookman Old Style"/>
        </w:rPr>
      </w:pPr>
      <w:r w:rsidRPr="00A97131">
        <w:rPr>
          <w:rFonts w:ascii="Bookman Old Style" w:hAnsi="Bookman Old Style"/>
        </w:rPr>
        <w:t>Procédures privées et mise en œuvre du droit européen de la concurrence</w:t>
      </w:r>
    </w:p>
    <w:p w:rsidR="00D527A7" w:rsidRPr="00A97131" w:rsidRDefault="00D527A7" w:rsidP="00D527A7">
      <w:pPr>
        <w:numPr>
          <w:ilvl w:val="0"/>
          <w:numId w:val="6"/>
        </w:numPr>
        <w:spacing w:after="0"/>
        <w:ind w:left="1065"/>
        <w:rPr>
          <w:rFonts w:ascii="Bookman Old Style" w:hAnsi="Bookman Old Style"/>
        </w:rPr>
      </w:pPr>
      <w:r w:rsidRPr="00A97131">
        <w:rPr>
          <w:rFonts w:ascii="Bookman Old Style" w:hAnsi="Bookman Old Style"/>
        </w:rPr>
        <w:t>Politique de la concurrence européenne et coordination internationale</w:t>
      </w:r>
    </w:p>
    <w:p w:rsidR="00D527A7" w:rsidRPr="00A97131" w:rsidRDefault="00D527A7" w:rsidP="00D527A7">
      <w:pPr>
        <w:numPr>
          <w:ilvl w:val="0"/>
          <w:numId w:val="6"/>
        </w:numPr>
        <w:spacing w:after="0"/>
        <w:ind w:left="1065"/>
        <w:rPr>
          <w:rFonts w:ascii="Bookman Old Style" w:hAnsi="Bookman Old Style"/>
        </w:rPr>
      </w:pPr>
      <w:r w:rsidRPr="00A97131">
        <w:rPr>
          <w:rFonts w:ascii="Bookman Old Style" w:hAnsi="Bookman Old Style"/>
        </w:rPr>
        <w:t>Bilan empirique de la politique de la concurrence européenne</w:t>
      </w:r>
    </w:p>
    <w:p w:rsidR="00D527A7" w:rsidRPr="00A97131" w:rsidRDefault="00D527A7" w:rsidP="00D527A7">
      <w:pPr>
        <w:rPr>
          <w:rFonts w:ascii="Bookman Old Style" w:hAnsi="Bookman Old Style"/>
        </w:rPr>
      </w:pPr>
      <w:r w:rsidRPr="00A97131">
        <w:rPr>
          <w:rFonts w:ascii="Bookman Old Style" w:hAnsi="Bookman Old Style"/>
        </w:rPr>
        <w:tab/>
      </w:r>
    </w:p>
    <w:p w:rsidR="00D527A7" w:rsidRPr="00A97131" w:rsidRDefault="00D527A7" w:rsidP="00D527A7">
      <w:pPr>
        <w:jc w:val="center"/>
        <w:rPr>
          <w:rFonts w:ascii="Bookman Old Style" w:hAnsi="Bookman Old Style"/>
          <w:b/>
          <w:u w:val="single"/>
          <w:lang w:val="en-US"/>
        </w:rPr>
      </w:pPr>
      <w:r w:rsidRPr="00A97131">
        <w:rPr>
          <w:rFonts w:ascii="Bookman Old Style" w:hAnsi="Bookman Old Style"/>
          <w:b/>
          <w:u w:val="single"/>
          <w:lang w:val="en-US"/>
        </w:rPr>
        <w:t>ELEMENTS BIBLIOGRAPHIQUES :</w:t>
      </w:r>
    </w:p>
    <w:p w:rsidR="00D527A7" w:rsidRPr="00A97131" w:rsidRDefault="00D527A7" w:rsidP="00D527A7">
      <w:pPr>
        <w:rPr>
          <w:rFonts w:ascii="Bookman Old Style" w:hAnsi="Bookman Old Style"/>
          <w:color w:val="000000"/>
          <w:lang w:val="en-US"/>
        </w:rPr>
      </w:pPr>
      <w:r w:rsidRPr="00A97131">
        <w:rPr>
          <w:rFonts w:ascii="Bookman Old Style" w:hAnsi="Bookman Old Style"/>
          <w:color w:val="000000"/>
          <w:lang w:val="en-US"/>
        </w:rPr>
        <w:t>- Competition Policy: Theory and Practice, M. Motta, Cambridge University Press</w:t>
      </w:r>
    </w:p>
    <w:p w:rsidR="00D527A7" w:rsidRPr="00A97131" w:rsidRDefault="00D527A7" w:rsidP="00D527A7">
      <w:pPr>
        <w:autoSpaceDE w:val="0"/>
        <w:autoSpaceDN w:val="0"/>
        <w:adjustRightInd w:val="0"/>
        <w:rPr>
          <w:rFonts w:ascii="Bookman Old Style" w:eastAsia="Calibri" w:hAnsi="Bookman Old Style"/>
          <w:lang w:val="en-US"/>
        </w:rPr>
      </w:pPr>
      <w:r w:rsidRPr="00A97131">
        <w:rPr>
          <w:rFonts w:ascii="Bookman Old Style" w:hAnsi="Bookman Old Style"/>
          <w:color w:val="000000"/>
          <w:lang w:val="en-US"/>
        </w:rPr>
        <w:t xml:space="preserve">- </w:t>
      </w:r>
      <w:r w:rsidRPr="00A97131">
        <w:rPr>
          <w:rFonts w:ascii="Bookman Old Style" w:eastAsia="Calibri" w:hAnsi="Bookman Old Style"/>
          <w:lang w:val="en-US"/>
        </w:rPr>
        <w:t>Handbook of Antitrust Economics, Ed. P. Buccirossi, The MIT Press, Cambridge, Massachusetts</w:t>
      </w:r>
    </w:p>
    <w:p w:rsidR="00D527A7" w:rsidRPr="00A97131" w:rsidRDefault="00D527A7" w:rsidP="00D527A7">
      <w:pPr>
        <w:rPr>
          <w:rFonts w:ascii="Bookman Old Style" w:hAnsi="Bookman Old Style"/>
        </w:rPr>
      </w:pPr>
      <w:r w:rsidRPr="00A97131">
        <w:rPr>
          <w:rFonts w:ascii="Bookman Old Style" w:hAnsi="Bookman Old Style"/>
        </w:rPr>
        <w:t>- Politiques de la concurrence, D. Encaoua et R. Guesnerie, Rapport CAE, La documentation française</w:t>
      </w:r>
    </w:p>
    <w:p w:rsidR="00D527A7" w:rsidRPr="00A97131" w:rsidRDefault="00D527A7" w:rsidP="00D527A7">
      <w:pPr>
        <w:rPr>
          <w:rFonts w:ascii="Bookman Old Style" w:hAnsi="Bookman Old Style"/>
        </w:rPr>
      </w:pPr>
      <w:r w:rsidRPr="00A97131">
        <w:rPr>
          <w:rFonts w:ascii="Bookman Old Style" w:hAnsi="Bookman Old Style"/>
        </w:rPr>
        <w:t>- Politique de la concurrence, E. Combe, La Découverte</w:t>
      </w:r>
    </w:p>
    <w:p w:rsidR="00D527A7" w:rsidRPr="00A97131" w:rsidRDefault="00D527A7" w:rsidP="00D527A7">
      <w:pPr>
        <w:rPr>
          <w:rFonts w:ascii="Bookman Old Style" w:hAnsi="Bookman Old Style"/>
          <w:lang w:val="en-US"/>
        </w:rPr>
      </w:pPr>
      <w:r w:rsidRPr="00A97131">
        <w:rPr>
          <w:rFonts w:ascii="Bookman Old Style" w:hAnsi="Bookman Old Style"/>
          <w:lang w:val="en-US"/>
        </w:rPr>
        <w:t>- Industrial Organization, P. Belleflame et M. Peitz, Cambridge University Press</w:t>
      </w:r>
    </w:p>
    <w:p w:rsidR="00D527A7" w:rsidRPr="00A97131" w:rsidRDefault="00D527A7" w:rsidP="00D527A7">
      <w:pPr>
        <w:rPr>
          <w:rFonts w:ascii="Bookman Old Style" w:hAnsi="Bookman Old Style"/>
          <w:lang w:val="en-US"/>
        </w:rPr>
      </w:pPr>
    </w:p>
    <w:p w:rsidR="00D527A7" w:rsidRPr="00A97131" w:rsidRDefault="00D527A7" w:rsidP="00D527A7">
      <w:pPr>
        <w:rPr>
          <w:rFonts w:ascii="Bookman Old Style" w:hAnsi="Bookman Old Style"/>
        </w:rPr>
      </w:pPr>
      <w:r w:rsidRPr="00A97131">
        <w:rPr>
          <w:rFonts w:ascii="Bookman Old Style" w:hAnsi="Bookman Old Style"/>
        </w:rPr>
        <w:t xml:space="preserve">Site recommandé : </w:t>
      </w:r>
      <w:hyperlink r:id="rId47" w:history="1">
        <w:r w:rsidRPr="00A97131">
          <w:rPr>
            <w:rStyle w:val="Lienhypertexte"/>
            <w:rFonts w:ascii="Bookman Old Style" w:hAnsi="Bookman Old Style"/>
          </w:rPr>
          <w:t>http://ec.europa.eu/comm/competition/index_en.html</w:t>
        </w:r>
      </w:hyperlink>
      <w:r w:rsidRPr="00A97131">
        <w:rPr>
          <w:rFonts w:ascii="Bookman Old Style" w:hAnsi="Bookman Old Style"/>
        </w:rPr>
        <w:t xml:space="preserve">                                     </w:t>
      </w:r>
    </w:p>
    <w:p w:rsidR="00D527A7" w:rsidRPr="00A97131" w:rsidRDefault="00D527A7" w:rsidP="00D527A7">
      <w:pPr>
        <w:rPr>
          <w:rFonts w:ascii="Bookman Old Style" w:hAnsi="Bookman Old Style"/>
        </w:rPr>
      </w:pPr>
    </w:p>
    <w:p w:rsidR="005B240C" w:rsidRDefault="00251E4E" w:rsidP="005B240C">
      <w:pPr>
        <w:rPr>
          <w:rFonts w:ascii="Bookman Old Style" w:hAnsi="Bookman Old Style"/>
        </w:rPr>
      </w:pPr>
      <w:r w:rsidRPr="00AE4E48">
        <w:rPr>
          <w:rFonts w:ascii="Bookman Old Style" w:hAnsi="Bookman Old Style"/>
          <w:b/>
        </w:rPr>
        <w:t>Contrôle des connaissances : examen écrit.</w:t>
      </w:r>
      <w:r w:rsidR="005B240C">
        <w:rPr>
          <w:rFonts w:ascii="Bookman Old Style" w:hAnsi="Bookman Old Style"/>
        </w:rPr>
        <w:br w:type="page"/>
      </w:r>
    </w:p>
    <w:p w:rsidR="00E84A44" w:rsidRDefault="000343FC" w:rsidP="0054659C">
      <w:pPr>
        <w:jc w:val="center"/>
        <w:rPr>
          <w:rFonts w:ascii="Bookman Old Style" w:hAnsi="Bookman Old Style"/>
          <w:b/>
        </w:rPr>
      </w:pPr>
      <w:r w:rsidRPr="00762B04">
        <w:rPr>
          <w:rFonts w:ascii="Bookman Old Style" w:hAnsi="Bookman Old Style"/>
          <w:b/>
        </w:rPr>
        <w:lastRenderedPageBreak/>
        <w:t>Droit interne et européen de la concurrence</w:t>
      </w:r>
    </w:p>
    <w:p w:rsidR="000343FC" w:rsidRPr="0054659C" w:rsidRDefault="000343FC" w:rsidP="0054659C">
      <w:pPr>
        <w:jc w:val="center"/>
        <w:rPr>
          <w:rFonts w:ascii="Bookman Old Style" w:eastAsia="Times New Roman" w:hAnsi="Bookman Old Style" w:cs="Times New Roman"/>
          <w:lang w:eastAsia="fr-FR"/>
        </w:rPr>
      </w:pPr>
      <w:r w:rsidRPr="00762B04">
        <w:rPr>
          <w:rFonts w:ascii="Bookman Old Style" w:hAnsi="Bookman Old Style"/>
          <w:b/>
        </w:rPr>
        <w:t>M. BARTHE</w:t>
      </w:r>
    </w:p>
    <w:p w:rsidR="000343FC" w:rsidRPr="00902F58" w:rsidRDefault="000343FC" w:rsidP="000343FC">
      <w:pPr>
        <w:rPr>
          <w:rFonts w:ascii="Bookman Old Style" w:hAnsi="Bookman Old Style"/>
        </w:rPr>
      </w:pPr>
    </w:p>
    <w:p w:rsidR="00D515D6" w:rsidRPr="00D714DC" w:rsidRDefault="00D515D6" w:rsidP="00D515D6">
      <w:pPr>
        <w:jc w:val="center"/>
        <w:rPr>
          <w:rFonts w:ascii="Bookman Old Style" w:hAnsi="Bookman Old Style"/>
          <w:b/>
        </w:rPr>
      </w:pPr>
      <w:r w:rsidRPr="00D714DC">
        <w:rPr>
          <w:rFonts w:ascii="Bookman Old Style" w:hAnsi="Bookman Old Style"/>
          <w:b/>
        </w:rPr>
        <w:t>Introduction – Rappels des éléments fondamentaux.</w:t>
      </w:r>
    </w:p>
    <w:p w:rsidR="00D515D6" w:rsidRPr="00D714DC" w:rsidRDefault="00D515D6" w:rsidP="00D515D6">
      <w:pPr>
        <w:rPr>
          <w:rFonts w:ascii="Bookman Old Style" w:hAnsi="Bookman Old Style"/>
        </w:rPr>
      </w:pPr>
      <w:r w:rsidRPr="00D714DC">
        <w:rPr>
          <w:rFonts w:ascii="Bookman Old Style" w:hAnsi="Bookman Old Style"/>
          <w:b/>
        </w:rPr>
        <w:t>• </w:t>
      </w:r>
      <w:r w:rsidRPr="00D714DC">
        <w:rPr>
          <w:rFonts w:ascii="Bookman Old Style" w:hAnsi="Bookman Old Style"/>
        </w:rPr>
        <w:t>La notion de concurrence.</w:t>
      </w:r>
    </w:p>
    <w:p w:rsidR="00D515D6" w:rsidRPr="00D714DC" w:rsidRDefault="00D515D6" w:rsidP="00D515D6">
      <w:pPr>
        <w:rPr>
          <w:rFonts w:ascii="Bookman Old Style" w:hAnsi="Bookman Old Style"/>
          <w:b/>
        </w:rPr>
      </w:pPr>
      <w:r w:rsidRPr="00D714DC">
        <w:rPr>
          <w:rFonts w:ascii="Bookman Old Style" w:hAnsi="Bookman Old Style"/>
          <w:b/>
        </w:rPr>
        <w:t xml:space="preserve">• </w:t>
      </w:r>
      <w:r w:rsidRPr="00D714DC">
        <w:rPr>
          <w:rFonts w:ascii="Bookman Old Style" w:hAnsi="Bookman Old Style"/>
        </w:rPr>
        <w:t>Le cadre juridique et institutionnel en France et dans l’Union européenne.</w:t>
      </w:r>
    </w:p>
    <w:p w:rsidR="00D515D6" w:rsidRPr="00D714DC" w:rsidRDefault="00D515D6" w:rsidP="00D515D6">
      <w:pPr>
        <w:rPr>
          <w:rFonts w:ascii="Bookman Old Style" w:hAnsi="Bookman Old Style"/>
        </w:rPr>
      </w:pPr>
      <w:r w:rsidRPr="00D714DC">
        <w:rPr>
          <w:rFonts w:ascii="Bookman Old Style" w:hAnsi="Bookman Old Style"/>
          <w:b/>
        </w:rPr>
        <w:t xml:space="preserve">• </w:t>
      </w:r>
      <w:r w:rsidRPr="00D714DC">
        <w:rPr>
          <w:rFonts w:ascii="Bookman Old Style" w:hAnsi="Bookman Old Style"/>
        </w:rPr>
        <w:t>La notion de marché pertinent.</w:t>
      </w:r>
    </w:p>
    <w:p w:rsidR="00D515D6" w:rsidRPr="00D714DC" w:rsidRDefault="00D515D6" w:rsidP="00D515D6">
      <w:pPr>
        <w:rPr>
          <w:rFonts w:ascii="Bookman Old Style" w:hAnsi="Bookman Old Style"/>
        </w:rPr>
      </w:pPr>
      <w:r w:rsidRPr="00D714DC">
        <w:rPr>
          <w:rFonts w:ascii="Bookman Old Style" w:hAnsi="Bookman Old Style"/>
        </w:rPr>
        <w:t>• La notion d’entreprise.</w:t>
      </w:r>
    </w:p>
    <w:p w:rsidR="00D515D6" w:rsidRPr="00D714DC" w:rsidRDefault="00D515D6" w:rsidP="00D515D6">
      <w:pPr>
        <w:tabs>
          <w:tab w:val="left" w:pos="0"/>
        </w:tabs>
        <w:jc w:val="center"/>
        <w:rPr>
          <w:rFonts w:ascii="Bookman Old Style" w:hAnsi="Bookman Old Style"/>
          <w:b/>
        </w:rPr>
      </w:pPr>
      <w:r w:rsidRPr="00D714DC">
        <w:rPr>
          <w:rFonts w:ascii="Bookman Old Style" w:hAnsi="Bookman Old Style"/>
          <w:b/>
        </w:rPr>
        <w:t>Chapitre 1 — Le contrôle ex-ante des concentrations.</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Rappels :</w:t>
      </w:r>
    </w:p>
    <w:p w:rsidR="00D515D6" w:rsidRPr="00D714DC" w:rsidRDefault="00D515D6" w:rsidP="00D515D6">
      <w:pPr>
        <w:numPr>
          <w:ilvl w:val="0"/>
          <w:numId w:val="21"/>
        </w:numPr>
        <w:tabs>
          <w:tab w:val="left" w:pos="0"/>
        </w:tabs>
        <w:spacing w:after="0" w:line="240" w:lineRule="auto"/>
        <w:jc w:val="both"/>
        <w:rPr>
          <w:rFonts w:ascii="Bookman Old Style" w:hAnsi="Bookman Old Style"/>
        </w:rPr>
      </w:pPr>
      <w:r w:rsidRPr="00D714DC">
        <w:rPr>
          <w:rFonts w:ascii="Bookman Old Style" w:hAnsi="Bookman Old Style"/>
        </w:rPr>
        <w:t>Les évolutions de la réglementation française et de l’Union européenne.</w:t>
      </w:r>
    </w:p>
    <w:p w:rsidR="00D515D6" w:rsidRPr="00D714DC" w:rsidRDefault="00D515D6" w:rsidP="00D515D6">
      <w:pPr>
        <w:numPr>
          <w:ilvl w:val="0"/>
          <w:numId w:val="21"/>
        </w:numPr>
        <w:tabs>
          <w:tab w:val="left" w:pos="0"/>
        </w:tabs>
        <w:spacing w:after="0" w:line="240" w:lineRule="auto"/>
        <w:jc w:val="both"/>
        <w:rPr>
          <w:rFonts w:ascii="Bookman Old Style" w:hAnsi="Bookman Old Style"/>
        </w:rPr>
      </w:pPr>
      <w:r w:rsidRPr="00D714DC">
        <w:rPr>
          <w:rFonts w:ascii="Bookman Old Style" w:hAnsi="Bookman Old Style"/>
        </w:rPr>
        <w:t>La justification économique des concentrations.</w:t>
      </w:r>
    </w:p>
    <w:p w:rsidR="00D515D6" w:rsidRPr="00D714DC" w:rsidRDefault="00D515D6" w:rsidP="00D515D6">
      <w:pPr>
        <w:tabs>
          <w:tab w:val="left" w:pos="0"/>
        </w:tabs>
        <w:jc w:val="both"/>
        <w:rPr>
          <w:rFonts w:ascii="Bookman Old Style" w:hAnsi="Bookman Old Style"/>
        </w:rPr>
      </w:pP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b/>
        </w:rPr>
        <w:t>Section 1 — Le champ d’application des règles relatives aux concentrations.</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1 § La notion de concentration.</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ab/>
        <w:t>A) La Fusion.</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ab/>
        <w:t>B) L’acquisition durable du contrôle.</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1° Difficultés relatives aux moyens d’acquisition du contrôle.</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2° Difficultés relatives à la durée de l’acquisition du contrôle.</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3° Difficultés relatives à la qualité du contrôle acquis</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2 § La dimension de la concentration.</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ab/>
        <w:t>A) L’existence de seuils.</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1° Seuils de l’Union européenne</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2° Seuils français.</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ab/>
        <w:t>B) Le calcul du chiffre d’affaires.</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b/>
        </w:rPr>
        <w:t>Section 2 — L’analyse concurrentielle de la concentration.</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1 § Le critère d’incompatibilité.</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2 § La méthode d’évaluation.</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ab/>
        <w:t>A) Evaluation préalable de la concentration.</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lastRenderedPageBreak/>
        <w:tab/>
        <w:t>B) Analyse approfondie des effets de la concentration.</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1° Les effets non-coordonnés de l’opération.</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2° Les effets coordonnés de l’opération.</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3° Les faits justificatifs de l’opération.</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b/>
        </w:rPr>
        <w:t>Section 3 — Les modalités du contrôle de concentration.</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1§ Le déclenchement du contrôle.</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ab/>
        <w:t>A) La pré-notification.</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ab/>
        <w:t>B) La notification.</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2§ Le déroulement du contrôle.</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ab/>
        <w:t>A) La phase I.</w:t>
      </w:r>
    </w:p>
    <w:p w:rsidR="00D515D6" w:rsidRPr="00D714DC" w:rsidRDefault="00D515D6" w:rsidP="00D515D6">
      <w:pPr>
        <w:rPr>
          <w:rFonts w:ascii="Bookman Old Style" w:hAnsi="Bookman Old Style"/>
        </w:rPr>
      </w:pPr>
      <w:r w:rsidRPr="00D714DC">
        <w:rPr>
          <w:rFonts w:ascii="Bookman Old Style" w:hAnsi="Bookman Old Style"/>
        </w:rPr>
        <w:tab/>
        <w:t>B) La Phase II.</w:t>
      </w:r>
    </w:p>
    <w:p w:rsidR="00D515D6" w:rsidRPr="00D714DC" w:rsidRDefault="00D515D6" w:rsidP="00D515D6">
      <w:pPr>
        <w:tabs>
          <w:tab w:val="left" w:pos="0"/>
        </w:tabs>
        <w:jc w:val="center"/>
        <w:rPr>
          <w:rFonts w:ascii="Bookman Old Style" w:hAnsi="Bookman Old Style"/>
        </w:rPr>
      </w:pPr>
    </w:p>
    <w:p w:rsidR="00D515D6" w:rsidRPr="00D714DC" w:rsidRDefault="00D515D6" w:rsidP="00D515D6">
      <w:pPr>
        <w:tabs>
          <w:tab w:val="left" w:pos="0"/>
        </w:tabs>
        <w:jc w:val="center"/>
        <w:rPr>
          <w:rFonts w:ascii="Bookman Old Style" w:hAnsi="Bookman Old Style"/>
          <w:b/>
        </w:rPr>
      </w:pPr>
      <w:r w:rsidRPr="00D714DC">
        <w:rPr>
          <w:rFonts w:ascii="Bookman Old Style" w:hAnsi="Bookman Old Style"/>
          <w:b/>
        </w:rPr>
        <w:t>Chapitre 2 — Le contrôle ex-post des pratiques anticoncurrentielles.</w:t>
      </w:r>
    </w:p>
    <w:p w:rsidR="00D515D6" w:rsidRPr="00D714DC" w:rsidRDefault="00D515D6" w:rsidP="00D515D6">
      <w:pPr>
        <w:rPr>
          <w:rFonts w:ascii="Bookman Old Style" w:hAnsi="Bookman Old Style"/>
          <w:b/>
        </w:rPr>
      </w:pPr>
      <w:r w:rsidRPr="00D714DC">
        <w:rPr>
          <w:rFonts w:ascii="Bookman Old Style" w:hAnsi="Bookman Old Style"/>
          <w:b/>
        </w:rPr>
        <w:t>Rappels sur le champ d’application matériel et géographique du droit des PAC.</w:t>
      </w:r>
    </w:p>
    <w:p w:rsidR="00D515D6" w:rsidRPr="00D714DC" w:rsidRDefault="00D515D6" w:rsidP="00D515D6">
      <w:pPr>
        <w:tabs>
          <w:tab w:val="left" w:pos="0"/>
        </w:tabs>
        <w:jc w:val="both"/>
        <w:rPr>
          <w:rFonts w:ascii="Bookman Old Style" w:hAnsi="Bookman Old Style"/>
          <w:b/>
        </w:rPr>
      </w:pPr>
      <w:r w:rsidRPr="00D714DC">
        <w:rPr>
          <w:rFonts w:ascii="Bookman Old Style" w:hAnsi="Bookman Old Style"/>
          <w:b/>
        </w:rPr>
        <w:t>Section 1 : Les ententes restrictives de concurrence</w:t>
      </w:r>
    </w:p>
    <w:p w:rsidR="00D515D6" w:rsidRPr="00D714DC" w:rsidRDefault="00D515D6" w:rsidP="00D515D6">
      <w:pPr>
        <w:tabs>
          <w:tab w:val="left" w:pos="0"/>
          <w:tab w:val="right" w:pos="10080"/>
        </w:tabs>
        <w:jc w:val="both"/>
        <w:rPr>
          <w:rFonts w:ascii="Bookman Old Style" w:hAnsi="Bookman Old Style"/>
        </w:rPr>
      </w:pPr>
      <w:r w:rsidRPr="00D714DC">
        <w:rPr>
          <w:rFonts w:ascii="Bookman Old Style" w:hAnsi="Bookman Old Style"/>
        </w:rPr>
        <w:t>1 § Les ententes interdites.</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ab/>
        <w:t>A) L’existence d’une volonté commune.</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1° Volonté commune avérée.</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2° Volonté commune diffuse.</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ab/>
        <w:t>B) L’existence d’une restriction de la concurrence.</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1° L’objet anticoncurrentiel.</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rPr>
        <w:t>2° L’effet anticoncurrentiel.</w:t>
      </w:r>
    </w:p>
    <w:p w:rsidR="00D515D6" w:rsidRPr="00D714DC" w:rsidRDefault="00D515D6" w:rsidP="00D515D6">
      <w:pPr>
        <w:tabs>
          <w:tab w:val="left" w:pos="0"/>
          <w:tab w:val="right" w:pos="10080"/>
        </w:tabs>
        <w:jc w:val="both"/>
        <w:rPr>
          <w:rFonts w:ascii="Bookman Old Style" w:hAnsi="Bookman Old Style"/>
        </w:rPr>
      </w:pPr>
      <w:r w:rsidRPr="00D714DC">
        <w:rPr>
          <w:rFonts w:ascii="Bookman Old Style" w:hAnsi="Bookman Old Style"/>
        </w:rPr>
        <w:t>2 § Les ententes exemptées.</w:t>
      </w:r>
    </w:p>
    <w:p w:rsidR="00D515D6" w:rsidRPr="00D714DC" w:rsidRDefault="00D515D6" w:rsidP="00D515D6">
      <w:pPr>
        <w:jc w:val="both"/>
        <w:rPr>
          <w:rFonts w:ascii="Bookman Old Style" w:hAnsi="Bookman Old Style"/>
        </w:rPr>
      </w:pPr>
      <w:r w:rsidRPr="00D714DC">
        <w:rPr>
          <w:rFonts w:ascii="Bookman Old Style" w:hAnsi="Bookman Old Style"/>
        </w:rPr>
        <w:tab/>
        <w:t>A) Les exemptions individuelles.</w:t>
      </w:r>
    </w:p>
    <w:p w:rsidR="00D515D6" w:rsidRPr="00D714DC" w:rsidRDefault="00D515D6" w:rsidP="00D515D6">
      <w:pPr>
        <w:jc w:val="both"/>
        <w:rPr>
          <w:rFonts w:ascii="Bookman Old Style" w:hAnsi="Bookman Old Style"/>
        </w:rPr>
      </w:pPr>
      <w:r w:rsidRPr="00D714DC">
        <w:rPr>
          <w:rFonts w:ascii="Bookman Old Style" w:hAnsi="Bookman Old Style"/>
        </w:rPr>
        <w:t>1° conditions positives.</w:t>
      </w:r>
    </w:p>
    <w:p w:rsidR="00D515D6" w:rsidRPr="00D714DC" w:rsidRDefault="00D515D6" w:rsidP="00D515D6">
      <w:pPr>
        <w:jc w:val="both"/>
        <w:rPr>
          <w:rFonts w:ascii="Bookman Old Style" w:hAnsi="Bookman Old Style"/>
        </w:rPr>
      </w:pPr>
      <w:r w:rsidRPr="00D714DC">
        <w:rPr>
          <w:rFonts w:ascii="Bookman Old Style" w:hAnsi="Bookman Old Style"/>
        </w:rPr>
        <w:t>2° conditions négatives.</w:t>
      </w:r>
    </w:p>
    <w:p w:rsidR="00D515D6" w:rsidRPr="00D714DC" w:rsidRDefault="00D515D6" w:rsidP="00D515D6">
      <w:pPr>
        <w:jc w:val="both"/>
        <w:rPr>
          <w:rFonts w:ascii="Bookman Old Style" w:hAnsi="Bookman Old Style"/>
        </w:rPr>
      </w:pPr>
      <w:r w:rsidRPr="00D714DC">
        <w:rPr>
          <w:rFonts w:ascii="Bookman Old Style" w:hAnsi="Bookman Old Style"/>
        </w:rPr>
        <w:tab/>
        <w:t>B) Les exemptions collectives.</w:t>
      </w:r>
    </w:p>
    <w:p w:rsidR="00D515D6" w:rsidRPr="00D714DC" w:rsidRDefault="00D515D6" w:rsidP="00D515D6">
      <w:pPr>
        <w:jc w:val="both"/>
        <w:rPr>
          <w:rFonts w:ascii="Bookman Old Style" w:hAnsi="Bookman Old Style"/>
        </w:rPr>
      </w:pPr>
      <w:r w:rsidRPr="00D714DC">
        <w:rPr>
          <w:rFonts w:ascii="Bookman Old Style" w:hAnsi="Bookman Old Style"/>
        </w:rPr>
        <w:t>1° le mécanisme des exemptions par catégories – étude des restrictions verticales</w:t>
      </w:r>
    </w:p>
    <w:p w:rsidR="00D515D6" w:rsidRPr="00D714DC" w:rsidRDefault="00D515D6" w:rsidP="00D515D6">
      <w:pPr>
        <w:jc w:val="both"/>
        <w:rPr>
          <w:rFonts w:ascii="Bookman Old Style" w:hAnsi="Bookman Old Style"/>
        </w:rPr>
      </w:pPr>
      <w:r w:rsidRPr="00D714DC">
        <w:rPr>
          <w:rFonts w:ascii="Bookman Old Style" w:hAnsi="Bookman Old Style"/>
        </w:rPr>
        <w:lastRenderedPageBreak/>
        <w:t>2° les effets des exemptions par catégories.</w:t>
      </w:r>
    </w:p>
    <w:p w:rsidR="00D515D6" w:rsidRPr="00D714DC" w:rsidRDefault="00D515D6" w:rsidP="00D515D6">
      <w:pPr>
        <w:tabs>
          <w:tab w:val="left" w:pos="0"/>
        </w:tabs>
        <w:jc w:val="both"/>
        <w:rPr>
          <w:rFonts w:ascii="Bookman Old Style" w:hAnsi="Bookman Old Style"/>
        </w:rPr>
      </w:pPr>
      <w:r w:rsidRPr="00D714DC">
        <w:rPr>
          <w:rFonts w:ascii="Bookman Old Style" w:hAnsi="Bookman Old Style"/>
          <w:b/>
        </w:rPr>
        <w:t>Section 2 : Les abus de position dominante</w:t>
      </w:r>
    </w:p>
    <w:p w:rsidR="00D515D6" w:rsidRPr="00D714DC" w:rsidRDefault="00D515D6" w:rsidP="00D515D6">
      <w:pPr>
        <w:jc w:val="both"/>
        <w:rPr>
          <w:rFonts w:ascii="Bookman Old Style" w:hAnsi="Bookman Old Style"/>
        </w:rPr>
      </w:pPr>
      <w:r w:rsidRPr="00D714DC">
        <w:rPr>
          <w:rFonts w:ascii="Bookman Old Style" w:hAnsi="Bookman Old Style"/>
        </w:rPr>
        <w:t>1 § La domination.</w:t>
      </w:r>
    </w:p>
    <w:p w:rsidR="00D515D6" w:rsidRPr="00D714DC" w:rsidRDefault="00D515D6" w:rsidP="00D515D6">
      <w:pPr>
        <w:jc w:val="both"/>
        <w:rPr>
          <w:rFonts w:ascii="Bookman Old Style" w:hAnsi="Bookman Old Style"/>
        </w:rPr>
      </w:pPr>
      <w:r w:rsidRPr="00D714DC">
        <w:rPr>
          <w:rFonts w:ascii="Bookman Old Style" w:hAnsi="Bookman Old Style"/>
        </w:rPr>
        <w:tab/>
        <w:t>A) Détermination de la domination individuelle.</w:t>
      </w:r>
    </w:p>
    <w:p w:rsidR="00D515D6" w:rsidRPr="00D714DC" w:rsidRDefault="00D515D6" w:rsidP="00D515D6">
      <w:pPr>
        <w:jc w:val="both"/>
        <w:rPr>
          <w:rFonts w:ascii="Bookman Old Style" w:hAnsi="Bookman Old Style"/>
        </w:rPr>
      </w:pPr>
      <w:r w:rsidRPr="00D714DC">
        <w:rPr>
          <w:rFonts w:ascii="Bookman Old Style" w:hAnsi="Bookman Old Style"/>
        </w:rPr>
        <w:t>1° L’évaluation quantitative de la dominance : la part de marché.</w:t>
      </w:r>
    </w:p>
    <w:p w:rsidR="00D515D6" w:rsidRPr="00D714DC" w:rsidRDefault="00D515D6" w:rsidP="00D515D6">
      <w:pPr>
        <w:jc w:val="both"/>
        <w:rPr>
          <w:rFonts w:ascii="Bookman Old Style" w:hAnsi="Bookman Old Style"/>
        </w:rPr>
      </w:pPr>
      <w:r w:rsidRPr="00D714DC">
        <w:rPr>
          <w:rFonts w:ascii="Bookman Old Style" w:hAnsi="Bookman Old Style"/>
        </w:rPr>
        <w:t>2° L’évaluation qualitative de la dominance.</w:t>
      </w:r>
    </w:p>
    <w:p w:rsidR="00D515D6" w:rsidRPr="00D714DC" w:rsidRDefault="00D515D6" w:rsidP="00D515D6">
      <w:pPr>
        <w:jc w:val="both"/>
        <w:rPr>
          <w:rFonts w:ascii="Bookman Old Style" w:hAnsi="Bookman Old Style"/>
        </w:rPr>
      </w:pPr>
      <w:r w:rsidRPr="00D714DC">
        <w:rPr>
          <w:rFonts w:ascii="Bookman Old Style" w:hAnsi="Bookman Old Style"/>
        </w:rPr>
        <w:tab/>
        <w:t>B) Détermination de la domination collective.</w:t>
      </w:r>
    </w:p>
    <w:p w:rsidR="00D515D6" w:rsidRPr="00D714DC" w:rsidRDefault="00D515D6" w:rsidP="00D515D6">
      <w:pPr>
        <w:jc w:val="both"/>
        <w:rPr>
          <w:rFonts w:ascii="Bookman Old Style" w:hAnsi="Bookman Old Style"/>
        </w:rPr>
      </w:pPr>
      <w:r w:rsidRPr="00D714DC">
        <w:rPr>
          <w:rFonts w:ascii="Bookman Old Style" w:hAnsi="Bookman Old Style"/>
        </w:rPr>
        <w:t>2 § La notion d’abus.</w:t>
      </w:r>
    </w:p>
    <w:p w:rsidR="00D515D6" w:rsidRPr="00D714DC" w:rsidRDefault="00D515D6" w:rsidP="00D515D6">
      <w:pPr>
        <w:jc w:val="both"/>
        <w:rPr>
          <w:rFonts w:ascii="Bookman Old Style" w:hAnsi="Bookman Old Style"/>
        </w:rPr>
      </w:pPr>
      <w:r w:rsidRPr="00D714DC">
        <w:rPr>
          <w:rFonts w:ascii="Bookman Old Style" w:hAnsi="Bookman Old Style"/>
        </w:rPr>
        <w:tab/>
        <w:t>A) Définition de l’abus.</w:t>
      </w:r>
    </w:p>
    <w:p w:rsidR="00D515D6" w:rsidRPr="00D714DC" w:rsidRDefault="00D515D6" w:rsidP="00D515D6">
      <w:pPr>
        <w:jc w:val="both"/>
        <w:rPr>
          <w:rFonts w:ascii="Bookman Old Style" w:hAnsi="Bookman Old Style"/>
        </w:rPr>
      </w:pPr>
      <w:r w:rsidRPr="00D714DC">
        <w:rPr>
          <w:rFonts w:ascii="Bookman Old Style" w:hAnsi="Bookman Old Style"/>
        </w:rPr>
        <w:t>1° Définition classique</w:t>
      </w:r>
    </w:p>
    <w:p w:rsidR="00D515D6" w:rsidRPr="00D714DC" w:rsidRDefault="00D515D6" w:rsidP="00D515D6">
      <w:pPr>
        <w:jc w:val="both"/>
        <w:rPr>
          <w:rFonts w:ascii="Bookman Old Style" w:hAnsi="Bookman Old Style"/>
        </w:rPr>
      </w:pPr>
      <w:r w:rsidRPr="00D714DC">
        <w:rPr>
          <w:rFonts w:ascii="Bookman Old Style" w:hAnsi="Bookman Old Style"/>
        </w:rPr>
        <w:t>2° Le renouveau de la notion</w:t>
      </w:r>
    </w:p>
    <w:p w:rsidR="00D515D6" w:rsidRPr="00D714DC" w:rsidRDefault="00D515D6" w:rsidP="00D515D6">
      <w:pPr>
        <w:jc w:val="both"/>
        <w:rPr>
          <w:rFonts w:ascii="Bookman Old Style" w:hAnsi="Bookman Old Style"/>
        </w:rPr>
      </w:pPr>
      <w:r w:rsidRPr="00D714DC">
        <w:rPr>
          <w:rFonts w:ascii="Bookman Old Style" w:hAnsi="Bookman Old Style"/>
        </w:rPr>
        <w:tab/>
        <w:t>B) Typologie de l’abus.</w:t>
      </w:r>
    </w:p>
    <w:p w:rsidR="00D515D6" w:rsidRPr="00D714DC" w:rsidRDefault="00D515D6" w:rsidP="00D515D6">
      <w:pPr>
        <w:jc w:val="both"/>
        <w:rPr>
          <w:rFonts w:ascii="Bookman Old Style" w:hAnsi="Bookman Old Style"/>
        </w:rPr>
      </w:pPr>
      <w:r w:rsidRPr="00D714DC">
        <w:rPr>
          <w:rFonts w:ascii="Bookman Old Style" w:hAnsi="Bookman Old Style"/>
        </w:rPr>
        <w:t>1° Les abus d’exclusion.</w:t>
      </w:r>
    </w:p>
    <w:p w:rsidR="00D515D6" w:rsidRPr="00D714DC" w:rsidRDefault="00D515D6" w:rsidP="00D515D6">
      <w:pPr>
        <w:jc w:val="both"/>
        <w:rPr>
          <w:rFonts w:ascii="Bookman Old Style" w:hAnsi="Bookman Old Style"/>
        </w:rPr>
      </w:pPr>
      <w:r w:rsidRPr="00D714DC">
        <w:rPr>
          <w:rFonts w:ascii="Bookman Old Style" w:hAnsi="Bookman Old Style"/>
        </w:rPr>
        <w:t>2° Les abus d’exploitation.</w:t>
      </w:r>
    </w:p>
    <w:p w:rsidR="00251E4E" w:rsidRDefault="00251E4E">
      <w:pPr>
        <w:rPr>
          <w:rFonts w:ascii="Bookman Old Style" w:hAnsi="Bookman Old Style"/>
        </w:rPr>
      </w:pPr>
    </w:p>
    <w:p w:rsidR="00D515D6" w:rsidRDefault="00251E4E">
      <w:pPr>
        <w:rPr>
          <w:rFonts w:ascii="Bookman Old Style" w:hAnsi="Bookman Old Style"/>
        </w:rPr>
      </w:pPr>
      <w:r w:rsidRPr="00AE4E48">
        <w:rPr>
          <w:rFonts w:ascii="Bookman Old Style" w:hAnsi="Bookman Old Style"/>
          <w:b/>
        </w:rPr>
        <w:t>Contrôle des connaissances : examen écrit.</w:t>
      </w:r>
      <w:r w:rsidR="00D515D6">
        <w:rPr>
          <w:rFonts w:ascii="Bookman Old Style" w:hAnsi="Bookman Old Style"/>
        </w:rPr>
        <w:br w:type="page"/>
      </w:r>
    </w:p>
    <w:p w:rsidR="00462F57" w:rsidRDefault="0054659C" w:rsidP="0054659C">
      <w:pPr>
        <w:jc w:val="center"/>
        <w:rPr>
          <w:rFonts w:ascii="Bookman Old Style" w:hAnsi="Bookman Old Style"/>
          <w:b/>
          <w:bCs/>
        </w:rPr>
      </w:pPr>
      <w:r w:rsidRPr="0054659C">
        <w:rPr>
          <w:rFonts w:ascii="Bookman Old Style" w:hAnsi="Bookman Old Style"/>
          <w:b/>
          <w:bCs/>
        </w:rPr>
        <w:lastRenderedPageBreak/>
        <w:t>Economie du numérique et des TIC</w:t>
      </w:r>
    </w:p>
    <w:p w:rsidR="0054659C" w:rsidRPr="0054659C" w:rsidRDefault="0054659C" w:rsidP="0054659C">
      <w:pPr>
        <w:jc w:val="center"/>
        <w:rPr>
          <w:rFonts w:ascii="Bookman Old Style" w:hAnsi="Bookman Old Style"/>
          <w:b/>
          <w:bCs/>
        </w:rPr>
      </w:pPr>
      <w:r>
        <w:rPr>
          <w:rFonts w:ascii="Bookman Old Style" w:hAnsi="Bookman Old Style"/>
          <w:b/>
          <w:bCs/>
        </w:rPr>
        <w:t>M</w:t>
      </w:r>
      <w:r w:rsidR="007B4340">
        <w:rPr>
          <w:rFonts w:ascii="Bookman Old Style" w:hAnsi="Bookman Old Style"/>
          <w:b/>
          <w:bCs/>
        </w:rPr>
        <w:t>me DUMONT</w:t>
      </w:r>
    </w:p>
    <w:p w:rsidR="00FD443D" w:rsidRPr="00A817E7" w:rsidRDefault="00FD443D" w:rsidP="00FD443D">
      <w:pPr>
        <w:spacing w:before="100" w:beforeAutospacing="1" w:after="100" w:afterAutospacing="1" w:line="240" w:lineRule="auto"/>
        <w:jc w:val="both"/>
        <w:outlineLvl w:val="1"/>
        <w:rPr>
          <w:rFonts w:ascii="Bookman Old Style" w:eastAsia="Times New Roman" w:hAnsi="Bookman Old Style"/>
          <w:b/>
          <w:bCs/>
          <w:lang w:eastAsia="fr-FR"/>
        </w:rPr>
      </w:pPr>
      <w:r w:rsidRPr="00A817E7">
        <w:rPr>
          <w:rFonts w:ascii="Bookman Old Style" w:eastAsia="Times New Roman" w:hAnsi="Bookman Old Style"/>
          <w:b/>
          <w:bCs/>
          <w:lang w:eastAsia="fr-FR"/>
        </w:rPr>
        <w:t>Objectifs du cours :</w:t>
      </w:r>
    </w:p>
    <w:p w:rsidR="00FD443D" w:rsidRPr="00A817E7" w:rsidRDefault="00FD443D" w:rsidP="00FD443D">
      <w:pPr>
        <w:pStyle w:val="Blockquote"/>
        <w:numPr>
          <w:ilvl w:val="0"/>
          <w:numId w:val="30"/>
        </w:numPr>
        <w:spacing w:beforeAutospacing="1" w:afterAutospacing="1"/>
        <w:ind w:right="0"/>
        <w:jc w:val="both"/>
        <w:rPr>
          <w:rFonts w:ascii="Bookman Old Style" w:hAnsi="Bookman Old Style"/>
          <w:sz w:val="22"/>
          <w:szCs w:val="22"/>
        </w:rPr>
      </w:pPr>
      <w:r w:rsidRPr="00A817E7">
        <w:rPr>
          <w:rFonts w:ascii="Bookman Old Style" w:hAnsi="Bookman Old Style"/>
          <w:sz w:val="22"/>
          <w:szCs w:val="22"/>
        </w:rPr>
        <w:t>L'économie des TICs et du numérique recouvre les secteurs de production de biens et services numériques (les secteurs de l'informatique, des télécommunications, de l'électronique et des médias). Mais, elle renvoie aussi à la diffusion et aux usages des services numériques tant par les entreprises que par les particuliers. L'analyse et le décryptage de l'économie numérique sont devenus incontournable tant son poids est devenu important dans l'ensemble de l'économie.</w:t>
      </w:r>
    </w:p>
    <w:p w:rsidR="00FD443D" w:rsidRPr="00A817E7" w:rsidRDefault="00FD443D" w:rsidP="00FD443D">
      <w:pPr>
        <w:pStyle w:val="NormalWeb"/>
        <w:numPr>
          <w:ilvl w:val="0"/>
          <w:numId w:val="30"/>
        </w:numPr>
        <w:jc w:val="both"/>
        <w:rPr>
          <w:rFonts w:ascii="Bookman Old Style" w:hAnsi="Bookman Old Style"/>
          <w:b/>
          <w:sz w:val="22"/>
          <w:szCs w:val="22"/>
        </w:rPr>
      </w:pPr>
      <w:r w:rsidRPr="00A817E7">
        <w:rPr>
          <w:rFonts w:ascii="Bookman Old Style" w:hAnsi="Bookman Old Style"/>
          <w:sz w:val="22"/>
          <w:szCs w:val="22"/>
        </w:rPr>
        <w:t>Ce cours vise à présenter les théories et les outils pour analyser et comprendre les principes économiques qui régissent l'économie numérique (réseaux, rendements croissant d’adoptions, standardisation, …). Deux spécificités essentielles du commerce électronique seront notamment abordées: (i) les modes de tarification des biens et surtout des services associés au commerce électronique ; (ii) les nouveaux intermédiaires du commerce électronique qui répondent notamment au problème posé par l'anonymat des échanges en ligne.</w:t>
      </w:r>
    </w:p>
    <w:p w:rsidR="00FD443D" w:rsidRPr="00251E4E" w:rsidRDefault="00FD443D" w:rsidP="00FD443D">
      <w:pPr>
        <w:pStyle w:val="Blockquote"/>
        <w:numPr>
          <w:ilvl w:val="0"/>
          <w:numId w:val="30"/>
        </w:numPr>
        <w:ind w:right="0"/>
        <w:jc w:val="both"/>
        <w:rPr>
          <w:rFonts w:ascii="Bookman Old Style" w:hAnsi="Bookman Old Style"/>
          <w:sz w:val="22"/>
          <w:szCs w:val="22"/>
        </w:rPr>
      </w:pPr>
      <w:r w:rsidRPr="00A817E7">
        <w:rPr>
          <w:rFonts w:ascii="Bookman Old Style" w:hAnsi="Bookman Old Style"/>
          <w:sz w:val="22"/>
          <w:szCs w:val="22"/>
        </w:rPr>
        <w:t>Pour cela, le cours s'appuiera sur les développements récents de la théorie de l'organisation industrielle et de l'économie des réseaux, qui font largement appel à des outils de théorie des jeux. L'accent sera également mis sur des études de cas et des applications sectorielles. La forme adoptée pour le cours sera délibérément interactive.</w:t>
      </w:r>
    </w:p>
    <w:p w:rsidR="00FD443D" w:rsidRPr="00251E4E" w:rsidRDefault="00FD443D" w:rsidP="00FD443D">
      <w:pPr>
        <w:spacing w:before="100" w:beforeAutospacing="1" w:after="100" w:afterAutospacing="1" w:line="240" w:lineRule="auto"/>
        <w:jc w:val="both"/>
        <w:outlineLvl w:val="1"/>
        <w:rPr>
          <w:rFonts w:ascii="Bookman Old Style" w:eastAsia="Times New Roman" w:hAnsi="Bookman Old Style"/>
          <w:b/>
          <w:bCs/>
          <w:lang w:eastAsia="fr-FR"/>
        </w:rPr>
      </w:pPr>
      <w:r w:rsidRPr="00A817E7">
        <w:rPr>
          <w:rFonts w:ascii="Bookman Old Style" w:eastAsia="Times New Roman" w:hAnsi="Bookman Old Style"/>
          <w:b/>
          <w:bCs/>
          <w:lang w:eastAsia="fr-FR"/>
        </w:rPr>
        <w:t>Pré-requis :</w:t>
      </w:r>
      <w:r>
        <w:rPr>
          <w:rFonts w:ascii="Bookman Old Style" w:eastAsia="Times New Roman" w:hAnsi="Bookman Old Style"/>
          <w:b/>
          <w:bCs/>
          <w:lang w:eastAsia="fr-FR"/>
        </w:rPr>
        <w:t xml:space="preserve"> </w:t>
      </w:r>
      <w:r w:rsidRPr="00A817E7">
        <w:rPr>
          <w:rFonts w:ascii="Bookman Old Style" w:hAnsi="Bookman Old Style"/>
        </w:rPr>
        <w:t>Niveau intermédiaire d’économie industrielle et d’économie du droit</w:t>
      </w:r>
      <w:r>
        <w:rPr>
          <w:rFonts w:ascii="Bookman Old Style" w:hAnsi="Bookman Old Style"/>
        </w:rPr>
        <w:t> </w:t>
      </w:r>
    </w:p>
    <w:p w:rsidR="00FD443D" w:rsidRPr="00A817E7" w:rsidRDefault="00FD443D" w:rsidP="00FD443D">
      <w:pPr>
        <w:jc w:val="both"/>
        <w:rPr>
          <w:rFonts w:ascii="Bookman Old Style" w:hAnsi="Bookman Old Style"/>
          <w:b/>
        </w:rPr>
      </w:pPr>
      <w:r w:rsidRPr="00A817E7">
        <w:rPr>
          <w:rFonts w:ascii="Bookman Old Style" w:eastAsia="Times New Roman" w:hAnsi="Bookman Old Style"/>
          <w:b/>
          <w:bCs/>
          <w:lang w:eastAsia="fr-FR"/>
        </w:rPr>
        <w:t>Plan détaillé indicatif :</w:t>
      </w:r>
    </w:p>
    <w:p w:rsidR="00FD443D" w:rsidRPr="00A817E7" w:rsidRDefault="00FD443D" w:rsidP="00FD443D">
      <w:pPr>
        <w:spacing w:after="0" w:line="240" w:lineRule="auto"/>
        <w:jc w:val="both"/>
        <w:rPr>
          <w:rFonts w:ascii="Bookman Old Style" w:hAnsi="Bookman Old Style"/>
          <w:b/>
        </w:rPr>
      </w:pPr>
      <w:r w:rsidRPr="00A817E7">
        <w:rPr>
          <w:rFonts w:ascii="Bookman Old Style" w:hAnsi="Bookman Old Style"/>
          <w:b/>
        </w:rPr>
        <w:t>Chapitre 1_Introduction aux TICs et à l’économie numérique</w:t>
      </w:r>
    </w:p>
    <w:p w:rsidR="00FD443D" w:rsidRPr="00A817E7" w:rsidRDefault="00FD443D" w:rsidP="00FD443D">
      <w:pPr>
        <w:spacing w:after="0" w:line="240" w:lineRule="auto"/>
        <w:ind w:firstLine="708"/>
        <w:jc w:val="both"/>
        <w:rPr>
          <w:rFonts w:ascii="Bookman Old Style" w:hAnsi="Bookman Old Style"/>
        </w:rPr>
      </w:pPr>
      <w:r w:rsidRPr="00A817E7">
        <w:rPr>
          <w:rFonts w:ascii="Bookman Old Style" w:hAnsi="Bookman Old Style"/>
        </w:rPr>
        <w:t>1.1_Définition</w:t>
      </w:r>
    </w:p>
    <w:p w:rsidR="00FD443D" w:rsidRPr="00A817E7" w:rsidRDefault="00FD443D" w:rsidP="00FD443D">
      <w:pPr>
        <w:spacing w:after="0" w:line="240" w:lineRule="auto"/>
        <w:ind w:firstLine="708"/>
        <w:jc w:val="both"/>
        <w:rPr>
          <w:rFonts w:ascii="Bookman Old Style" w:hAnsi="Bookman Old Style"/>
        </w:rPr>
      </w:pPr>
      <w:r w:rsidRPr="00A817E7">
        <w:rPr>
          <w:rFonts w:ascii="Bookman Old Style" w:hAnsi="Bookman Old Style"/>
        </w:rPr>
        <w:t>1.2_Mesure du poids du secteur des TICs dans l’économie</w:t>
      </w:r>
    </w:p>
    <w:p w:rsidR="00FD443D" w:rsidRPr="00A817E7" w:rsidRDefault="00FD443D" w:rsidP="00FD443D">
      <w:pPr>
        <w:spacing w:after="0" w:line="240" w:lineRule="auto"/>
        <w:ind w:firstLine="708"/>
        <w:jc w:val="both"/>
        <w:rPr>
          <w:rFonts w:ascii="Bookman Old Style" w:hAnsi="Bookman Old Style"/>
        </w:rPr>
      </w:pPr>
      <w:r w:rsidRPr="00A817E7">
        <w:rPr>
          <w:rFonts w:ascii="Bookman Old Style" w:hAnsi="Bookman Old Style"/>
        </w:rPr>
        <w:t>1.3_La convergence numérique</w:t>
      </w:r>
    </w:p>
    <w:p w:rsidR="00FD443D" w:rsidRPr="00A817E7" w:rsidRDefault="00FD443D" w:rsidP="00FD443D">
      <w:pPr>
        <w:spacing w:after="0" w:line="240" w:lineRule="auto"/>
        <w:ind w:firstLine="708"/>
        <w:jc w:val="both"/>
        <w:rPr>
          <w:rFonts w:ascii="Bookman Old Style" w:hAnsi="Bookman Old Style"/>
        </w:rPr>
      </w:pPr>
      <w:r w:rsidRPr="00A817E7">
        <w:rPr>
          <w:rFonts w:ascii="Bookman Old Style" w:hAnsi="Bookman Old Style"/>
        </w:rPr>
        <w:t>1.4_Une « nouvelle économie » ?</w:t>
      </w:r>
    </w:p>
    <w:p w:rsidR="00FD443D" w:rsidRPr="00A817E7" w:rsidRDefault="00FD443D" w:rsidP="00FD443D">
      <w:pPr>
        <w:spacing w:after="0" w:line="240" w:lineRule="auto"/>
        <w:jc w:val="both"/>
        <w:rPr>
          <w:rFonts w:ascii="Bookman Old Style" w:eastAsia="Times New Roman" w:hAnsi="Bookman Old Style"/>
          <w:b/>
          <w:bCs/>
          <w:lang w:eastAsia="fr-FR"/>
        </w:rPr>
      </w:pPr>
    </w:p>
    <w:p w:rsidR="00FD443D" w:rsidRPr="00A817E7" w:rsidRDefault="00FD443D" w:rsidP="00FD443D">
      <w:pPr>
        <w:spacing w:after="0" w:line="240" w:lineRule="auto"/>
        <w:jc w:val="both"/>
        <w:rPr>
          <w:rFonts w:ascii="Bookman Old Style" w:eastAsia="Times New Roman" w:hAnsi="Bookman Old Style"/>
          <w:b/>
          <w:bCs/>
          <w:lang w:eastAsia="fr-FR"/>
        </w:rPr>
      </w:pPr>
      <w:r w:rsidRPr="00A817E7">
        <w:rPr>
          <w:rFonts w:ascii="Bookman Old Style" w:eastAsia="Times New Roman" w:hAnsi="Bookman Old Style"/>
          <w:b/>
          <w:bCs/>
          <w:lang w:eastAsia="fr-FR"/>
        </w:rPr>
        <w:t>Chapitre 2_Economie des services numériques</w:t>
      </w:r>
    </w:p>
    <w:p w:rsidR="00FD443D" w:rsidRPr="00A817E7" w:rsidRDefault="00FD443D" w:rsidP="00FD443D">
      <w:pPr>
        <w:spacing w:after="0" w:line="240" w:lineRule="auto"/>
        <w:jc w:val="both"/>
        <w:rPr>
          <w:rFonts w:ascii="Bookman Old Style" w:eastAsia="Times New Roman" w:hAnsi="Bookman Old Style"/>
          <w:bCs/>
          <w:lang w:eastAsia="fr-FR"/>
        </w:rPr>
      </w:pPr>
      <w:r w:rsidRPr="00A817E7">
        <w:rPr>
          <w:rFonts w:ascii="Bookman Old Style" w:eastAsia="Times New Roman" w:hAnsi="Bookman Old Style"/>
          <w:bCs/>
          <w:lang w:eastAsia="fr-FR"/>
        </w:rPr>
        <w:tab/>
        <w:t>2.1_Définition et caractéristique des services numériques</w:t>
      </w:r>
    </w:p>
    <w:p w:rsidR="00FD443D" w:rsidRPr="00A817E7" w:rsidRDefault="00FD443D" w:rsidP="00FD443D">
      <w:pPr>
        <w:spacing w:after="0" w:line="240" w:lineRule="auto"/>
        <w:ind w:firstLine="708"/>
        <w:jc w:val="both"/>
        <w:rPr>
          <w:rFonts w:ascii="Bookman Old Style" w:eastAsia="Times New Roman" w:hAnsi="Bookman Old Style"/>
          <w:bCs/>
          <w:lang w:eastAsia="fr-FR"/>
        </w:rPr>
      </w:pPr>
      <w:r w:rsidRPr="00A817E7">
        <w:rPr>
          <w:rFonts w:ascii="Bookman Old Style" w:eastAsia="Times New Roman" w:hAnsi="Bookman Old Style"/>
          <w:bCs/>
          <w:lang w:eastAsia="fr-FR"/>
        </w:rPr>
        <w:t>2.2_Eléments d’économie de l’information</w:t>
      </w:r>
    </w:p>
    <w:p w:rsidR="00FD443D" w:rsidRPr="00A817E7" w:rsidRDefault="00FD443D" w:rsidP="00FD443D">
      <w:pPr>
        <w:spacing w:after="0" w:line="240" w:lineRule="auto"/>
        <w:ind w:firstLine="708"/>
        <w:jc w:val="both"/>
        <w:rPr>
          <w:rFonts w:ascii="Bookman Old Style" w:eastAsia="Times New Roman" w:hAnsi="Bookman Old Style"/>
          <w:bCs/>
          <w:lang w:eastAsia="fr-FR"/>
        </w:rPr>
      </w:pPr>
      <w:r w:rsidRPr="00A817E7">
        <w:rPr>
          <w:rFonts w:ascii="Bookman Old Style" w:eastAsia="Times New Roman" w:hAnsi="Bookman Old Style"/>
          <w:bCs/>
          <w:lang w:eastAsia="fr-FR"/>
        </w:rPr>
        <w:t>2.3_Diffusion des services numériques</w:t>
      </w:r>
    </w:p>
    <w:p w:rsidR="00FD443D" w:rsidRPr="00A817E7" w:rsidRDefault="00FD443D" w:rsidP="00FD443D">
      <w:pPr>
        <w:spacing w:after="0" w:line="240" w:lineRule="auto"/>
        <w:ind w:firstLine="708"/>
        <w:jc w:val="both"/>
        <w:rPr>
          <w:rFonts w:ascii="Bookman Old Style" w:eastAsia="Times New Roman" w:hAnsi="Bookman Old Style"/>
          <w:bCs/>
          <w:lang w:eastAsia="fr-FR"/>
        </w:rPr>
      </w:pPr>
      <w:r w:rsidRPr="00A817E7">
        <w:rPr>
          <w:rFonts w:ascii="Bookman Old Style" w:eastAsia="Times New Roman" w:hAnsi="Bookman Old Style"/>
          <w:bCs/>
          <w:lang w:eastAsia="fr-FR"/>
        </w:rPr>
        <w:t>2.4_Interconnexion, compatibilité et standardisation</w:t>
      </w:r>
    </w:p>
    <w:p w:rsidR="00FD443D" w:rsidRPr="00A817E7" w:rsidRDefault="00FD443D" w:rsidP="00FD443D">
      <w:pPr>
        <w:spacing w:after="0" w:line="240" w:lineRule="auto"/>
        <w:ind w:firstLine="708"/>
        <w:jc w:val="both"/>
        <w:rPr>
          <w:rFonts w:ascii="Bookman Old Style" w:eastAsia="Times New Roman" w:hAnsi="Bookman Old Style"/>
          <w:bCs/>
          <w:lang w:eastAsia="fr-FR"/>
        </w:rPr>
      </w:pPr>
    </w:p>
    <w:p w:rsidR="00FD443D" w:rsidRPr="00A817E7" w:rsidRDefault="00FD443D" w:rsidP="00FD443D">
      <w:pPr>
        <w:spacing w:after="0" w:line="240" w:lineRule="auto"/>
        <w:jc w:val="both"/>
        <w:rPr>
          <w:rFonts w:ascii="Bookman Old Style" w:eastAsia="Times New Roman" w:hAnsi="Bookman Old Style"/>
          <w:b/>
          <w:bCs/>
          <w:lang w:eastAsia="fr-FR"/>
        </w:rPr>
      </w:pPr>
      <w:r w:rsidRPr="00A817E7">
        <w:rPr>
          <w:rFonts w:ascii="Bookman Old Style" w:eastAsia="Times New Roman" w:hAnsi="Bookman Old Style"/>
          <w:b/>
          <w:bCs/>
          <w:lang w:eastAsia="fr-FR"/>
        </w:rPr>
        <w:t>Chapitre 3_Economie de la téléphonie mobile</w:t>
      </w:r>
    </w:p>
    <w:p w:rsidR="00FD443D" w:rsidRPr="00A817E7" w:rsidRDefault="00FD443D" w:rsidP="00FD443D">
      <w:pPr>
        <w:spacing w:after="0" w:line="240" w:lineRule="auto"/>
        <w:ind w:firstLine="708"/>
        <w:jc w:val="both"/>
        <w:rPr>
          <w:rFonts w:ascii="Bookman Old Style" w:eastAsia="Times New Roman" w:hAnsi="Bookman Old Style"/>
          <w:bCs/>
          <w:lang w:eastAsia="fr-FR"/>
        </w:rPr>
      </w:pPr>
      <w:r w:rsidRPr="00A817E7">
        <w:rPr>
          <w:rFonts w:ascii="Bookman Old Style" w:eastAsia="Times New Roman" w:hAnsi="Bookman Old Style"/>
          <w:bCs/>
          <w:lang w:eastAsia="fr-FR"/>
        </w:rPr>
        <w:t>3.1_Le marché du mobile en Europe : éléments historiques et actualité</w:t>
      </w:r>
    </w:p>
    <w:p w:rsidR="00FD443D" w:rsidRPr="00A817E7" w:rsidRDefault="00FD443D" w:rsidP="00FD443D">
      <w:pPr>
        <w:spacing w:after="0" w:line="240" w:lineRule="auto"/>
        <w:ind w:left="708"/>
        <w:jc w:val="both"/>
        <w:rPr>
          <w:rFonts w:ascii="Bookman Old Style" w:eastAsia="Times New Roman" w:hAnsi="Bookman Old Style"/>
          <w:bCs/>
          <w:lang w:eastAsia="fr-FR"/>
        </w:rPr>
      </w:pPr>
      <w:r w:rsidRPr="00A817E7">
        <w:rPr>
          <w:rFonts w:ascii="Bookman Old Style" w:eastAsia="Times New Roman" w:hAnsi="Bookman Old Style"/>
          <w:bCs/>
          <w:lang w:eastAsia="fr-FR"/>
        </w:rPr>
        <w:t>3.2_Différenciation des services, concurrence en prix et subventions d’accès : analyse des stratégies des opérateurs mobile</w:t>
      </w:r>
    </w:p>
    <w:p w:rsidR="00FD443D" w:rsidRPr="00A817E7" w:rsidRDefault="00FD443D" w:rsidP="00FD443D">
      <w:pPr>
        <w:spacing w:after="0" w:line="240" w:lineRule="auto"/>
        <w:ind w:firstLine="708"/>
        <w:jc w:val="both"/>
        <w:rPr>
          <w:rFonts w:ascii="Bookman Old Style" w:eastAsia="Times New Roman" w:hAnsi="Bookman Old Style"/>
          <w:bCs/>
          <w:lang w:eastAsia="fr-FR"/>
        </w:rPr>
      </w:pPr>
      <w:r w:rsidRPr="00A817E7">
        <w:rPr>
          <w:rFonts w:ascii="Bookman Old Style" w:eastAsia="Times New Roman" w:hAnsi="Bookman Old Style"/>
          <w:bCs/>
          <w:lang w:eastAsia="fr-FR"/>
        </w:rPr>
        <w:t>3.3_Innovations et nouveaux services</w:t>
      </w:r>
    </w:p>
    <w:p w:rsidR="00FD443D" w:rsidRPr="00A817E7" w:rsidRDefault="00FD443D" w:rsidP="00FD443D">
      <w:pPr>
        <w:spacing w:after="0" w:line="240" w:lineRule="auto"/>
        <w:jc w:val="both"/>
        <w:rPr>
          <w:rFonts w:ascii="Bookman Old Style" w:eastAsia="Times New Roman" w:hAnsi="Bookman Old Style"/>
          <w:bCs/>
          <w:lang w:eastAsia="fr-FR"/>
        </w:rPr>
      </w:pPr>
    </w:p>
    <w:p w:rsidR="00FD443D" w:rsidRPr="00A817E7" w:rsidRDefault="00FD443D" w:rsidP="00FD443D">
      <w:pPr>
        <w:spacing w:after="0" w:line="240" w:lineRule="auto"/>
        <w:jc w:val="both"/>
        <w:rPr>
          <w:rFonts w:ascii="Bookman Old Style" w:eastAsia="Times New Roman" w:hAnsi="Bookman Old Style"/>
          <w:b/>
          <w:bCs/>
          <w:lang w:eastAsia="fr-FR"/>
        </w:rPr>
      </w:pPr>
      <w:r w:rsidRPr="00A817E7">
        <w:rPr>
          <w:rFonts w:ascii="Bookman Old Style" w:eastAsia="Times New Roman" w:hAnsi="Bookman Old Style"/>
          <w:b/>
          <w:bCs/>
          <w:lang w:eastAsia="fr-FR"/>
        </w:rPr>
        <w:t>Chapitre 4_Economie des réseaux internet</w:t>
      </w:r>
    </w:p>
    <w:p w:rsidR="00FD443D" w:rsidRPr="00A817E7" w:rsidRDefault="00FD443D" w:rsidP="00FD443D">
      <w:pPr>
        <w:spacing w:after="0" w:line="240" w:lineRule="auto"/>
        <w:ind w:left="708"/>
        <w:jc w:val="both"/>
        <w:rPr>
          <w:rFonts w:ascii="Bookman Old Style" w:eastAsia="Times New Roman" w:hAnsi="Bookman Old Style"/>
          <w:bCs/>
          <w:lang w:eastAsia="fr-FR"/>
        </w:rPr>
      </w:pPr>
      <w:r w:rsidRPr="00A817E7">
        <w:rPr>
          <w:rFonts w:ascii="Bookman Old Style" w:eastAsia="Times New Roman" w:hAnsi="Bookman Old Style"/>
          <w:bCs/>
          <w:lang w:eastAsia="fr-FR"/>
        </w:rPr>
        <w:t>4.1_Organisation des réseaux internet : analyse des stratégies d’interconnexion des opérateurs</w:t>
      </w:r>
    </w:p>
    <w:p w:rsidR="00FD443D" w:rsidRPr="00A817E7" w:rsidRDefault="00FD443D" w:rsidP="00FD443D">
      <w:pPr>
        <w:spacing w:after="0" w:line="240" w:lineRule="auto"/>
        <w:ind w:left="708"/>
        <w:jc w:val="both"/>
        <w:rPr>
          <w:rFonts w:ascii="Bookman Old Style" w:eastAsia="Times New Roman" w:hAnsi="Bookman Old Style"/>
          <w:bCs/>
          <w:lang w:eastAsia="fr-FR"/>
        </w:rPr>
      </w:pPr>
      <w:r w:rsidRPr="00A817E7">
        <w:rPr>
          <w:rFonts w:ascii="Bookman Old Style" w:eastAsia="Times New Roman" w:hAnsi="Bookman Old Style"/>
          <w:bCs/>
          <w:lang w:eastAsia="fr-FR"/>
        </w:rPr>
        <w:lastRenderedPageBreak/>
        <w:t>4.2_Le marché de l’accès internet : analyse du modèle économique des fournisseurs d’accès</w:t>
      </w:r>
    </w:p>
    <w:p w:rsidR="00FD443D" w:rsidRPr="00A817E7" w:rsidRDefault="00FD443D" w:rsidP="00FD443D">
      <w:pPr>
        <w:spacing w:after="0" w:line="240" w:lineRule="auto"/>
        <w:ind w:firstLine="708"/>
        <w:jc w:val="both"/>
        <w:rPr>
          <w:rFonts w:ascii="Bookman Old Style" w:eastAsia="Times New Roman" w:hAnsi="Bookman Old Style"/>
          <w:bCs/>
          <w:lang w:eastAsia="fr-FR"/>
        </w:rPr>
      </w:pPr>
      <w:r w:rsidRPr="00A817E7">
        <w:rPr>
          <w:rFonts w:ascii="Bookman Old Style" w:eastAsia="Times New Roman" w:hAnsi="Bookman Old Style"/>
          <w:bCs/>
          <w:lang w:eastAsia="fr-FR"/>
        </w:rPr>
        <w:t>4.3_</w:t>
      </w:r>
      <w:r w:rsidRPr="00A817E7">
        <w:rPr>
          <w:rFonts w:ascii="Bookman Old Style" w:hAnsi="Bookman Old Style"/>
        </w:rPr>
        <w:t>Tarification des produits immatériels : discrimination, bundling, versioning</w:t>
      </w:r>
    </w:p>
    <w:p w:rsidR="00FD443D" w:rsidRPr="00A817E7" w:rsidRDefault="00FD443D" w:rsidP="00FD443D">
      <w:pPr>
        <w:spacing w:after="0" w:line="240" w:lineRule="auto"/>
        <w:ind w:left="708"/>
        <w:jc w:val="both"/>
        <w:rPr>
          <w:rFonts w:ascii="Bookman Old Style" w:eastAsia="Times New Roman" w:hAnsi="Bookman Old Style"/>
          <w:bCs/>
          <w:lang w:eastAsia="fr-FR"/>
        </w:rPr>
      </w:pPr>
    </w:p>
    <w:p w:rsidR="00FD443D" w:rsidRPr="00A817E7" w:rsidRDefault="00FD443D" w:rsidP="00FD443D">
      <w:pPr>
        <w:spacing w:after="0" w:line="240" w:lineRule="auto"/>
        <w:jc w:val="both"/>
        <w:rPr>
          <w:rFonts w:ascii="Bookman Old Style" w:eastAsia="Times New Roman" w:hAnsi="Bookman Old Style"/>
          <w:b/>
          <w:bCs/>
          <w:lang w:eastAsia="fr-FR"/>
        </w:rPr>
      </w:pPr>
      <w:r w:rsidRPr="00A817E7">
        <w:rPr>
          <w:rFonts w:ascii="Bookman Old Style" w:eastAsia="Times New Roman" w:hAnsi="Bookman Old Style"/>
          <w:b/>
          <w:bCs/>
          <w:lang w:eastAsia="fr-FR"/>
        </w:rPr>
        <w:t>Chapitre 5_Commerce électronique et services d’intermédiation</w:t>
      </w:r>
    </w:p>
    <w:p w:rsidR="00FD443D" w:rsidRPr="00A817E7" w:rsidRDefault="00FD443D" w:rsidP="00FD443D">
      <w:pPr>
        <w:spacing w:after="0" w:line="240" w:lineRule="auto"/>
        <w:ind w:left="705"/>
        <w:jc w:val="both"/>
        <w:rPr>
          <w:rFonts w:ascii="Bookman Old Style" w:eastAsia="Times New Roman" w:hAnsi="Bookman Old Style"/>
          <w:bCs/>
          <w:lang w:eastAsia="fr-FR"/>
        </w:rPr>
      </w:pPr>
      <w:r w:rsidRPr="00A817E7">
        <w:rPr>
          <w:rFonts w:ascii="Bookman Old Style" w:eastAsia="Times New Roman" w:hAnsi="Bookman Old Style"/>
          <w:bCs/>
          <w:lang w:eastAsia="fr-FR"/>
        </w:rPr>
        <w:t>5.1_Usages marchands et non marchands sur internet : une multitude de modèles économiques (bifaces, publicité, …°</w:t>
      </w:r>
    </w:p>
    <w:p w:rsidR="00FD443D" w:rsidRPr="00A817E7" w:rsidRDefault="00FD443D" w:rsidP="00FD443D">
      <w:pPr>
        <w:spacing w:after="0" w:line="240" w:lineRule="auto"/>
        <w:ind w:firstLine="708"/>
        <w:jc w:val="both"/>
        <w:rPr>
          <w:rFonts w:ascii="Bookman Old Style" w:eastAsia="Times New Roman" w:hAnsi="Bookman Old Style"/>
          <w:bCs/>
          <w:lang w:eastAsia="fr-FR"/>
        </w:rPr>
      </w:pPr>
      <w:r w:rsidRPr="00A817E7">
        <w:rPr>
          <w:rFonts w:ascii="Bookman Old Style" w:eastAsia="Times New Roman" w:hAnsi="Bookman Old Style"/>
          <w:bCs/>
          <w:lang w:eastAsia="fr-FR"/>
        </w:rPr>
        <w:t>5.2_Services d’intermédiation sur internet : analyse des modèles économiques</w:t>
      </w:r>
    </w:p>
    <w:p w:rsidR="00FD443D" w:rsidRPr="00A817E7" w:rsidRDefault="00FD443D" w:rsidP="00FD443D">
      <w:pPr>
        <w:spacing w:after="0" w:line="240" w:lineRule="auto"/>
        <w:ind w:firstLine="708"/>
        <w:jc w:val="both"/>
        <w:rPr>
          <w:rFonts w:ascii="Bookman Old Style" w:eastAsia="Times New Roman" w:hAnsi="Bookman Old Style"/>
          <w:bCs/>
          <w:lang w:eastAsia="fr-FR"/>
        </w:rPr>
      </w:pPr>
      <w:r w:rsidRPr="00A817E7">
        <w:rPr>
          <w:rFonts w:ascii="Bookman Old Style" w:eastAsia="Times New Roman" w:hAnsi="Bookman Old Style"/>
          <w:bCs/>
          <w:lang w:eastAsia="fr-FR"/>
        </w:rPr>
        <w:t>5.3_Commerce électronique : éléments théoriques et études empiriques</w:t>
      </w:r>
    </w:p>
    <w:p w:rsidR="00FD443D" w:rsidRPr="00A817E7" w:rsidRDefault="00FD443D" w:rsidP="00FD443D">
      <w:pPr>
        <w:spacing w:after="0" w:line="240" w:lineRule="auto"/>
        <w:ind w:firstLine="708"/>
        <w:jc w:val="both"/>
        <w:rPr>
          <w:rFonts w:ascii="Bookman Old Style" w:eastAsia="Times New Roman" w:hAnsi="Bookman Old Style"/>
          <w:bCs/>
          <w:lang w:eastAsia="fr-FR"/>
        </w:rPr>
      </w:pPr>
    </w:p>
    <w:p w:rsidR="00FD443D" w:rsidRPr="00A817E7" w:rsidRDefault="00FD443D" w:rsidP="00FD443D">
      <w:pPr>
        <w:spacing w:after="0" w:line="240" w:lineRule="auto"/>
        <w:jc w:val="both"/>
        <w:rPr>
          <w:rFonts w:ascii="Bookman Old Style" w:eastAsia="Times New Roman" w:hAnsi="Bookman Old Style"/>
          <w:b/>
          <w:bCs/>
          <w:lang w:eastAsia="fr-FR"/>
        </w:rPr>
      </w:pPr>
      <w:r w:rsidRPr="00A817E7">
        <w:rPr>
          <w:rFonts w:ascii="Bookman Old Style" w:eastAsia="Times New Roman" w:hAnsi="Bookman Old Style"/>
          <w:b/>
          <w:bCs/>
          <w:lang w:eastAsia="fr-FR"/>
        </w:rPr>
        <w:t>Chapitre 6_Régulation et marché</w:t>
      </w:r>
    </w:p>
    <w:p w:rsidR="00FD443D" w:rsidRPr="00A817E7" w:rsidRDefault="00FD443D" w:rsidP="00FD443D">
      <w:pPr>
        <w:spacing w:after="0" w:line="240" w:lineRule="auto"/>
        <w:jc w:val="both"/>
        <w:rPr>
          <w:rFonts w:ascii="Bookman Old Style" w:eastAsia="Times New Roman" w:hAnsi="Bookman Old Style"/>
          <w:bCs/>
          <w:lang w:eastAsia="fr-FR"/>
        </w:rPr>
      </w:pPr>
      <w:r w:rsidRPr="00A817E7">
        <w:rPr>
          <w:rFonts w:ascii="Bookman Old Style" w:eastAsia="Times New Roman" w:hAnsi="Bookman Old Style"/>
          <w:bCs/>
          <w:lang w:eastAsia="fr-FR"/>
        </w:rPr>
        <w:tab/>
        <w:t>6.1_Principes de régulation</w:t>
      </w:r>
    </w:p>
    <w:p w:rsidR="00FD443D" w:rsidRPr="00A817E7" w:rsidRDefault="00FD443D" w:rsidP="00FD443D">
      <w:pPr>
        <w:spacing w:after="0" w:line="240" w:lineRule="auto"/>
        <w:jc w:val="both"/>
        <w:rPr>
          <w:rFonts w:ascii="Bookman Old Style" w:eastAsia="Times New Roman" w:hAnsi="Bookman Old Style"/>
          <w:bCs/>
          <w:lang w:eastAsia="fr-FR"/>
        </w:rPr>
      </w:pPr>
      <w:r w:rsidRPr="00A817E7">
        <w:rPr>
          <w:rFonts w:ascii="Bookman Old Style" w:eastAsia="Times New Roman" w:hAnsi="Bookman Old Style"/>
          <w:bCs/>
          <w:lang w:eastAsia="fr-FR"/>
        </w:rPr>
        <w:tab/>
        <w:t>6.2_Tarification de l’interconnexion</w:t>
      </w:r>
    </w:p>
    <w:p w:rsidR="00FD443D" w:rsidRPr="00A817E7" w:rsidRDefault="00FD443D" w:rsidP="00FD443D">
      <w:pPr>
        <w:spacing w:after="0" w:line="240" w:lineRule="auto"/>
        <w:ind w:firstLine="708"/>
        <w:jc w:val="both"/>
        <w:rPr>
          <w:rFonts w:ascii="Bookman Old Style" w:eastAsia="Times New Roman" w:hAnsi="Bookman Old Style"/>
          <w:bCs/>
          <w:lang w:eastAsia="fr-FR"/>
        </w:rPr>
      </w:pPr>
      <w:r w:rsidRPr="00A817E7">
        <w:rPr>
          <w:rFonts w:ascii="Bookman Old Style" w:eastAsia="Times New Roman" w:hAnsi="Bookman Old Style"/>
          <w:bCs/>
          <w:lang w:eastAsia="fr-FR"/>
        </w:rPr>
        <w:t>6.3_Service universel</w:t>
      </w:r>
    </w:p>
    <w:p w:rsidR="00FD443D" w:rsidRPr="00A817E7" w:rsidRDefault="00FD443D" w:rsidP="00FD443D">
      <w:pPr>
        <w:spacing w:after="0" w:line="240" w:lineRule="auto"/>
        <w:jc w:val="both"/>
        <w:rPr>
          <w:rFonts w:ascii="Bookman Old Style" w:eastAsia="Times New Roman" w:hAnsi="Bookman Old Style"/>
          <w:bCs/>
          <w:lang w:eastAsia="fr-FR"/>
        </w:rPr>
      </w:pPr>
    </w:p>
    <w:p w:rsidR="00FD443D" w:rsidRPr="00A817E7" w:rsidRDefault="00FD443D" w:rsidP="00FD443D">
      <w:pPr>
        <w:spacing w:after="0" w:line="240" w:lineRule="auto"/>
        <w:jc w:val="both"/>
        <w:rPr>
          <w:rFonts w:ascii="Bookman Old Style" w:eastAsia="Times New Roman" w:hAnsi="Bookman Old Style"/>
          <w:b/>
          <w:bCs/>
          <w:lang w:eastAsia="fr-FR"/>
        </w:rPr>
      </w:pPr>
      <w:r w:rsidRPr="00A817E7">
        <w:rPr>
          <w:rFonts w:ascii="Bookman Old Style" w:eastAsia="Times New Roman" w:hAnsi="Bookman Old Style"/>
          <w:b/>
          <w:bCs/>
          <w:lang w:eastAsia="fr-FR"/>
        </w:rPr>
        <w:t>Chapitre 7_Innovation et régulation des services numériques</w:t>
      </w:r>
    </w:p>
    <w:p w:rsidR="00FD443D" w:rsidRPr="00A817E7" w:rsidRDefault="00FD443D" w:rsidP="00FD443D">
      <w:pPr>
        <w:spacing w:after="0" w:line="240" w:lineRule="auto"/>
        <w:ind w:firstLine="708"/>
        <w:jc w:val="both"/>
        <w:rPr>
          <w:rFonts w:ascii="Bookman Old Style" w:eastAsia="Times New Roman" w:hAnsi="Bookman Old Style"/>
          <w:bCs/>
          <w:lang w:eastAsia="fr-FR"/>
        </w:rPr>
      </w:pPr>
      <w:r w:rsidRPr="00A817E7">
        <w:rPr>
          <w:rFonts w:ascii="Bookman Old Style" w:eastAsia="Times New Roman" w:hAnsi="Bookman Old Style"/>
          <w:bCs/>
          <w:lang w:eastAsia="fr-FR"/>
        </w:rPr>
        <w:t>7.1_Coopération et compétition sur le web</w:t>
      </w:r>
    </w:p>
    <w:p w:rsidR="00FD443D" w:rsidRPr="00A817E7" w:rsidRDefault="00FD443D" w:rsidP="00FD443D">
      <w:pPr>
        <w:spacing w:after="0" w:line="240" w:lineRule="auto"/>
        <w:ind w:firstLine="708"/>
        <w:jc w:val="both"/>
        <w:rPr>
          <w:rFonts w:ascii="Bookman Old Style" w:eastAsia="Times New Roman" w:hAnsi="Bookman Old Style"/>
          <w:bCs/>
          <w:lang w:eastAsia="fr-FR"/>
        </w:rPr>
      </w:pPr>
      <w:r w:rsidRPr="00A817E7">
        <w:rPr>
          <w:rFonts w:ascii="Bookman Old Style" w:eastAsia="Times New Roman" w:hAnsi="Bookman Old Style"/>
          <w:bCs/>
          <w:lang w:eastAsia="fr-FR"/>
        </w:rPr>
        <w:t>7.2_Piratage en ligne</w:t>
      </w:r>
    </w:p>
    <w:p w:rsidR="00FD443D" w:rsidRPr="00A817E7" w:rsidRDefault="00FD443D" w:rsidP="00FD443D">
      <w:pPr>
        <w:spacing w:after="0" w:line="240" w:lineRule="auto"/>
        <w:ind w:firstLine="708"/>
        <w:jc w:val="both"/>
        <w:rPr>
          <w:rFonts w:ascii="Bookman Old Style" w:eastAsia="Times New Roman" w:hAnsi="Bookman Old Style"/>
          <w:bCs/>
          <w:lang w:eastAsia="fr-FR"/>
        </w:rPr>
      </w:pPr>
      <w:r w:rsidRPr="00A817E7">
        <w:rPr>
          <w:rFonts w:ascii="Bookman Old Style" w:eastAsia="Times New Roman" w:hAnsi="Bookman Old Style"/>
          <w:bCs/>
          <w:lang w:eastAsia="fr-FR"/>
        </w:rPr>
        <w:t>7.3_Management et régulation des contenus</w:t>
      </w:r>
    </w:p>
    <w:p w:rsidR="00FD443D" w:rsidRDefault="00FD443D" w:rsidP="00FD443D">
      <w:pPr>
        <w:spacing w:after="0" w:line="240" w:lineRule="auto"/>
        <w:ind w:firstLine="708"/>
        <w:jc w:val="both"/>
        <w:rPr>
          <w:rFonts w:ascii="Bookman Old Style" w:eastAsia="Times New Roman" w:hAnsi="Bookman Old Style"/>
          <w:bCs/>
          <w:lang w:eastAsia="fr-FR"/>
        </w:rPr>
      </w:pPr>
      <w:r w:rsidRPr="00A817E7">
        <w:rPr>
          <w:rFonts w:ascii="Bookman Old Style" w:eastAsia="Times New Roman" w:hAnsi="Bookman Old Style"/>
          <w:bCs/>
          <w:lang w:eastAsia="fr-FR"/>
        </w:rPr>
        <w:t>7.4_Protection de la vie privée</w:t>
      </w:r>
    </w:p>
    <w:p w:rsidR="000001B7" w:rsidRPr="00A817E7" w:rsidRDefault="000001B7" w:rsidP="00FD443D">
      <w:pPr>
        <w:spacing w:after="0" w:line="240" w:lineRule="auto"/>
        <w:ind w:firstLine="708"/>
        <w:jc w:val="both"/>
        <w:rPr>
          <w:rFonts w:ascii="Bookman Old Style" w:eastAsia="Times New Roman" w:hAnsi="Bookman Old Style"/>
          <w:bCs/>
          <w:lang w:eastAsia="fr-FR"/>
        </w:rPr>
      </w:pPr>
    </w:p>
    <w:p w:rsidR="00FD443D" w:rsidRPr="00A817E7" w:rsidRDefault="00FD443D" w:rsidP="00FD443D">
      <w:pPr>
        <w:spacing w:before="100" w:beforeAutospacing="1" w:after="100" w:afterAutospacing="1" w:line="240" w:lineRule="auto"/>
        <w:jc w:val="both"/>
        <w:rPr>
          <w:rFonts w:ascii="Bookman Old Style" w:eastAsia="Times New Roman" w:hAnsi="Bookman Old Style"/>
          <w:b/>
          <w:bCs/>
          <w:lang w:eastAsia="fr-FR"/>
        </w:rPr>
      </w:pPr>
      <w:r w:rsidRPr="00A817E7">
        <w:rPr>
          <w:rFonts w:ascii="Bookman Old Style" w:eastAsia="Times New Roman" w:hAnsi="Bookman Old Style"/>
          <w:b/>
          <w:bCs/>
          <w:lang w:eastAsia="fr-FR"/>
        </w:rPr>
        <w:t>Références :</w:t>
      </w:r>
    </w:p>
    <w:p w:rsidR="00FD443D" w:rsidRPr="00A817E7" w:rsidRDefault="00FD443D" w:rsidP="00FD443D">
      <w:pPr>
        <w:numPr>
          <w:ilvl w:val="0"/>
          <w:numId w:val="31"/>
        </w:numPr>
        <w:spacing w:before="100" w:beforeAutospacing="1" w:after="100" w:afterAutospacing="1" w:line="240" w:lineRule="auto"/>
        <w:jc w:val="both"/>
        <w:rPr>
          <w:rFonts w:ascii="Bookman Old Style" w:eastAsia="Times New Roman" w:hAnsi="Bookman Old Style"/>
          <w:lang w:val="en-US" w:eastAsia="fr-FR"/>
        </w:rPr>
      </w:pPr>
      <w:r w:rsidRPr="00A817E7">
        <w:rPr>
          <w:rFonts w:ascii="Bookman Old Style" w:eastAsia="Times New Roman" w:hAnsi="Bookman Old Style"/>
          <w:lang w:val="en-US" w:eastAsia="fr-FR"/>
        </w:rPr>
        <w:t xml:space="preserve">Brynjolfsson, E., Kahin, B., (2000), </w:t>
      </w:r>
      <w:hyperlink r:id="rId48" w:tgtFrame="_blank" w:history="1">
        <w:r w:rsidRPr="00A817E7">
          <w:rPr>
            <w:rFonts w:ascii="Bookman Old Style" w:eastAsia="Times New Roman" w:hAnsi="Bookman Old Style"/>
            <w:bCs/>
            <w:i/>
            <w:iCs/>
            <w:lang w:val="en-US" w:eastAsia="fr-FR"/>
          </w:rPr>
          <w:t>Understanding the digital economy</w:t>
        </w:r>
      </w:hyperlink>
      <w:hyperlink r:id="rId49" w:tgtFrame="_blank" w:history="1">
        <w:r w:rsidRPr="00A817E7">
          <w:rPr>
            <w:rFonts w:ascii="Bookman Old Style" w:eastAsia="Times New Roman" w:hAnsi="Bookman Old Style"/>
            <w:lang w:val="en-US" w:eastAsia="fr-FR"/>
          </w:rPr>
          <w:t>, MIT Press</w:t>
        </w:r>
      </w:hyperlink>
      <w:r w:rsidRPr="00A817E7">
        <w:rPr>
          <w:rFonts w:ascii="Bookman Old Style" w:eastAsia="Times New Roman" w:hAnsi="Bookman Old Style"/>
          <w:lang w:val="en-US" w:eastAsia="fr-FR"/>
        </w:rPr>
        <w:t>.</w:t>
      </w:r>
    </w:p>
    <w:p w:rsidR="00FD443D" w:rsidRPr="00A817E7" w:rsidRDefault="00FD443D" w:rsidP="00FD443D">
      <w:pPr>
        <w:numPr>
          <w:ilvl w:val="0"/>
          <w:numId w:val="31"/>
        </w:numPr>
        <w:spacing w:before="100" w:beforeAutospacing="1" w:after="100" w:afterAutospacing="1" w:line="240" w:lineRule="auto"/>
        <w:jc w:val="both"/>
        <w:rPr>
          <w:rFonts w:ascii="Bookman Old Style" w:eastAsia="Times New Roman" w:hAnsi="Bookman Old Style"/>
          <w:lang w:val="en-US" w:eastAsia="fr-FR"/>
        </w:rPr>
      </w:pPr>
      <w:r w:rsidRPr="00A817E7">
        <w:rPr>
          <w:rFonts w:ascii="Bookman Old Style" w:hAnsi="Bookman Old Style"/>
          <w:lang w:val="en-US" w:eastAsia="fr-FR"/>
        </w:rPr>
        <w:t xml:space="preserve">Brynjolfsson, E., Saunders, A., (2009), </w:t>
      </w:r>
      <w:r w:rsidRPr="00A817E7">
        <w:rPr>
          <w:rFonts w:ascii="Bookman Old Style" w:hAnsi="Bookman Old Style"/>
          <w:i/>
          <w:iCs/>
          <w:lang w:val="en-US" w:eastAsia="fr-FR"/>
        </w:rPr>
        <w:t>Wired for innovation: how information technology is</w:t>
      </w:r>
      <w:r w:rsidRPr="00A817E7">
        <w:rPr>
          <w:rFonts w:ascii="Bookman Old Style" w:eastAsia="Times New Roman" w:hAnsi="Bookman Old Style"/>
          <w:lang w:val="en-US" w:eastAsia="fr-FR"/>
        </w:rPr>
        <w:t xml:space="preserve"> </w:t>
      </w:r>
      <w:r w:rsidRPr="00A817E7">
        <w:rPr>
          <w:rFonts w:ascii="Bookman Old Style" w:hAnsi="Bookman Old Style"/>
          <w:i/>
          <w:iCs/>
          <w:lang w:val="en-US" w:eastAsia="fr-FR"/>
        </w:rPr>
        <w:t xml:space="preserve">reshaping the economy, </w:t>
      </w:r>
      <w:r w:rsidRPr="00A817E7">
        <w:rPr>
          <w:rFonts w:ascii="Bookman Old Style" w:hAnsi="Bookman Old Style"/>
          <w:iCs/>
          <w:lang w:val="en-US" w:eastAsia="fr-FR"/>
        </w:rPr>
        <w:t>The MIT Press</w:t>
      </w:r>
      <w:r w:rsidRPr="00A817E7">
        <w:rPr>
          <w:rFonts w:ascii="Bookman Old Style" w:hAnsi="Bookman Old Style"/>
          <w:lang w:val="en-US" w:eastAsia="fr-FR"/>
        </w:rPr>
        <w:t>.</w:t>
      </w:r>
    </w:p>
    <w:p w:rsidR="00FD443D" w:rsidRPr="00A817E7" w:rsidRDefault="00FD443D" w:rsidP="00FD443D">
      <w:pPr>
        <w:numPr>
          <w:ilvl w:val="0"/>
          <w:numId w:val="31"/>
        </w:numPr>
        <w:spacing w:before="100" w:beforeAutospacing="1" w:after="100" w:afterAutospacing="1" w:line="240" w:lineRule="auto"/>
        <w:jc w:val="both"/>
        <w:rPr>
          <w:rFonts w:ascii="Bookman Old Style" w:eastAsia="Times New Roman" w:hAnsi="Bookman Old Style"/>
          <w:lang w:eastAsia="fr-FR"/>
        </w:rPr>
      </w:pPr>
      <w:r w:rsidRPr="00A817E7">
        <w:rPr>
          <w:rFonts w:ascii="Bookman Old Style" w:eastAsia="Times New Roman" w:hAnsi="Bookman Old Style"/>
          <w:lang w:eastAsia="fr-FR"/>
        </w:rPr>
        <w:t xml:space="preserve">Curien, N., (2000), </w:t>
      </w:r>
      <w:r w:rsidRPr="00A817E7">
        <w:rPr>
          <w:rFonts w:ascii="Bookman Old Style" w:eastAsia="Times New Roman" w:hAnsi="Bookman Old Style"/>
          <w:bCs/>
          <w:i/>
          <w:iCs/>
          <w:lang w:eastAsia="fr-FR"/>
        </w:rPr>
        <w:t>Économie des réseaux</w:t>
      </w:r>
      <w:r w:rsidRPr="00A817E7">
        <w:rPr>
          <w:rFonts w:ascii="Bookman Old Style" w:eastAsia="Times New Roman" w:hAnsi="Bookman Old Style"/>
          <w:lang w:eastAsia="fr-FR"/>
        </w:rPr>
        <w:t>, Collection Repère La découverte.</w:t>
      </w:r>
    </w:p>
    <w:p w:rsidR="00FD443D" w:rsidRPr="00A817E7" w:rsidRDefault="00FD443D" w:rsidP="00FD443D">
      <w:pPr>
        <w:numPr>
          <w:ilvl w:val="0"/>
          <w:numId w:val="31"/>
        </w:numPr>
        <w:spacing w:before="100" w:beforeAutospacing="1" w:after="100" w:afterAutospacing="1" w:line="240" w:lineRule="auto"/>
        <w:jc w:val="both"/>
        <w:rPr>
          <w:rFonts w:ascii="Bookman Old Style" w:eastAsia="Times New Roman" w:hAnsi="Bookman Old Style"/>
          <w:lang w:eastAsia="fr-FR"/>
        </w:rPr>
      </w:pPr>
      <w:r w:rsidRPr="00A817E7">
        <w:rPr>
          <w:rFonts w:ascii="Bookman Old Style" w:hAnsi="Bookman Old Style"/>
          <w:iCs/>
        </w:rPr>
        <w:t xml:space="preserve">Curien, N., Maxwell, W., (2011), </w:t>
      </w:r>
      <w:r w:rsidRPr="00A817E7">
        <w:rPr>
          <w:rFonts w:ascii="Bookman Old Style" w:hAnsi="Bookman Old Style"/>
          <w:i/>
          <w:iCs/>
        </w:rPr>
        <w:t>La neutralité d’Internet</w:t>
      </w:r>
      <w:r w:rsidRPr="00A817E7">
        <w:rPr>
          <w:rFonts w:ascii="Bookman Old Style" w:hAnsi="Bookman Old Style"/>
        </w:rPr>
        <w:t>, Collection Repères, La Découverte.</w:t>
      </w:r>
    </w:p>
    <w:p w:rsidR="00FD443D" w:rsidRPr="00A817E7" w:rsidRDefault="00FD443D" w:rsidP="00FD443D">
      <w:pPr>
        <w:numPr>
          <w:ilvl w:val="0"/>
          <w:numId w:val="31"/>
        </w:numPr>
        <w:spacing w:before="100" w:beforeAutospacing="1" w:after="100" w:afterAutospacing="1" w:line="240" w:lineRule="auto"/>
        <w:jc w:val="both"/>
        <w:rPr>
          <w:rFonts w:ascii="Bookman Old Style" w:eastAsia="Times New Roman" w:hAnsi="Bookman Old Style"/>
          <w:lang w:eastAsia="fr-FR"/>
        </w:rPr>
      </w:pPr>
      <w:r w:rsidRPr="00A817E7">
        <w:rPr>
          <w:rFonts w:ascii="Bookman Old Style" w:hAnsi="Bookman Old Style"/>
        </w:rPr>
        <w:t xml:space="preserve">DangNguyen, G, D. Phan, (2000), </w:t>
      </w:r>
      <w:r w:rsidRPr="00A817E7">
        <w:rPr>
          <w:rFonts w:ascii="Bookman Old Style" w:hAnsi="Bookman Old Style"/>
          <w:i/>
          <w:iCs/>
        </w:rPr>
        <w:t>Economie des télécommunications et de l’Internet</w:t>
      </w:r>
      <w:r w:rsidRPr="00A817E7">
        <w:rPr>
          <w:rFonts w:ascii="Bookman Old Style" w:hAnsi="Bookman Old Style"/>
        </w:rPr>
        <w:t>, Economica.</w:t>
      </w:r>
    </w:p>
    <w:p w:rsidR="00FD443D" w:rsidRPr="00A817E7" w:rsidRDefault="005A4CF2" w:rsidP="00FD443D">
      <w:pPr>
        <w:numPr>
          <w:ilvl w:val="0"/>
          <w:numId w:val="31"/>
        </w:numPr>
        <w:spacing w:before="100" w:beforeAutospacing="1" w:after="100" w:afterAutospacing="1" w:line="240" w:lineRule="auto"/>
        <w:jc w:val="both"/>
        <w:rPr>
          <w:rFonts w:ascii="Bookman Old Style" w:eastAsia="Times New Roman" w:hAnsi="Bookman Old Style"/>
          <w:lang w:val="en-US" w:eastAsia="fr-FR"/>
        </w:rPr>
      </w:pPr>
      <w:hyperlink r:id="rId50" w:history="1">
        <w:r w:rsidR="00FD443D" w:rsidRPr="00A817E7">
          <w:rPr>
            <w:rStyle w:val="Lienhypertexte"/>
            <w:rFonts w:ascii="Bookman Old Style" w:hAnsi="Bookman Old Style"/>
            <w:color w:val="auto"/>
            <w:lang w:val="en-US"/>
          </w:rPr>
          <w:t>Macho-Stadler</w:t>
        </w:r>
      </w:hyperlink>
      <w:r w:rsidR="00FD443D" w:rsidRPr="00A817E7">
        <w:rPr>
          <w:rStyle w:val="a-declarative"/>
          <w:rFonts w:ascii="Bookman Old Style" w:hAnsi="Bookman Old Style"/>
          <w:lang w:val="en-US"/>
        </w:rPr>
        <w:t>, I.</w:t>
      </w:r>
      <w:r w:rsidR="00FD443D" w:rsidRPr="00A817E7">
        <w:rPr>
          <w:rStyle w:val="a-color-secondary"/>
          <w:rFonts w:ascii="Bookman Old Style" w:hAnsi="Bookman Old Style"/>
          <w:lang w:val="en-US"/>
        </w:rPr>
        <w:t xml:space="preserve">, </w:t>
      </w:r>
      <w:hyperlink r:id="rId51" w:history="1">
        <w:r w:rsidR="00FD443D" w:rsidRPr="00A817E7">
          <w:rPr>
            <w:rStyle w:val="Lienhypertexte"/>
            <w:rFonts w:ascii="Bookman Old Style" w:hAnsi="Bookman Old Style"/>
            <w:color w:val="auto"/>
            <w:lang w:val="en-US"/>
          </w:rPr>
          <w:t>David Pérez-Castrillo</w:t>
        </w:r>
      </w:hyperlink>
      <w:r w:rsidR="00FD443D" w:rsidRPr="00A817E7">
        <w:rPr>
          <w:rStyle w:val="author"/>
          <w:rFonts w:ascii="Bookman Old Style" w:hAnsi="Bookman Old Style"/>
          <w:lang w:val="en-US"/>
        </w:rPr>
        <w:t>, J.</w:t>
      </w:r>
      <w:r w:rsidR="00FD443D" w:rsidRPr="00A817E7">
        <w:rPr>
          <w:rStyle w:val="a-color-secondary"/>
          <w:rFonts w:ascii="Bookman Old Style" w:hAnsi="Bookman Old Style"/>
          <w:lang w:val="en-US"/>
        </w:rPr>
        <w:t xml:space="preserve">, </w:t>
      </w:r>
      <w:hyperlink r:id="rId52" w:history="1">
        <w:r w:rsidR="00FD443D" w:rsidRPr="00A817E7">
          <w:rPr>
            <w:rStyle w:val="Lienhypertexte"/>
            <w:rFonts w:ascii="Bookman Old Style" w:hAnsi="Bookman Old Style"/>
            <w:color w:val="auto"/>
            <w:lang w:val="en-US"/>
          </w:rPr>
          <w:t>Watt</w:t>
        </w:r>
      </w:hyperlink>
      <w:r w:rsidR="00FD443D" w:rsidRPr="00A817E7">
        <w:rPr>
          <w:rStyle w:val="author"/>
          <w:rFonts w:ascii="Bookman Old Style" w:hAnsi="Bookman Old Style"/>
          <w:lang w:val="en-US"/>
        </w:rPr>
        <w:t>, R., (2001),</w:t>
      </w:r>
      <w:r w:rsidR="00FD443D" w:rsidRPr="00A817E7">
        <w:rPr>
          <w:rFonts w:ascii="Bookman Old Style" w:hAnsi="Bookman Old Style"/>
          <w:lang w:val="en-US"/>
        </w:rPr>
        <w:t xml:space="preserve"> </w:t>
      </w:r>
      <w:r w:rsidR="00FD443D" w:rsidRPr="00A817E7">
        <w:rPr>
          <w:rStyle w:val="a-size-large"/>
          <w:rFonts w:ascii="Bookman Old Style" w:hAnsi="Bookman Old Style"/>
          <w:i/>
          <w:lang w:val="en-US"/>
        </w:rPr>
        <w:t>An introduction to the economics of information: incentives and contracts</w:t>
      </w:r>
      <w:r w:rsidR="00FD443D" w:rsidRPr="00A817E7">
        <w:rPr>
          <w:rStyle w:val="a-size-large"/>
          <w:rFonts w:ascii="Bookman Old Style" w:hAnsi="Bookman Old Style"/>
          <w:lang w:val="en-US"/>
        </w:rPr>
        <w:t>,</w:t>
      </w:r>
      <w:r w:rsidR="00FD443D" w:rsidRPr="00A817E7">
        <w:rPr>
          <w:rFonts w:ascii="Bookman Old Style" w:hAnsi="Bookman Old Style"/>
          <w:lang w:val="en-US"/>
        </w:rPr>
        <w:t xml:space="preserve"> Oxford University Press; 2nd edition.</w:t>
      </w:r>
    </w:p>
    <w:p w:rsidR="00FD443D" w:rsidRPr="00A817E7" w:rsidRDefault="00FD443D" w:rsidP="00FD443D">
      <w:pPr>
        <w:numPr>
          <w:ilvl w:val="0"/>
          <w:numId w:val="31"/>
        </w:numPr>
        <w:spacing w:before="100" w:beforeAutospacing="1" w:after="100" w:afterAutospacing="1" w:line="240" w:lineRule="auto"/>
        <w:jc w:val="both"/>
        <w:rPr>
          <w:rFonts w:ascii="Bookman Old Style" w:eastAsia="Times New Roman" w:hAnsi="Bookman Old Style"/>
          <w:lang w:eastAsia="fr-FR"/>
        </w:rPr>
      </w:pPr>
      <w:r w:rsidRPr="00A817E7">
        <w:rPr>
          <w:rFonts w:ascii="Bookman Old Style" w:eastAsia="Times New Roman" w:hAnsi="Bookman Old Style"/>
          <w:lang w:eastAsia="fr-FR"/>
        </w:rPr>
        <w:t xml:space="preserve">Shapiro, C et </w:t>
      </w:r>
      <w:hyperlink r:id="rId53" w:history="1">
        <w:r w:rsidRPr="00A817E7">
          <w:rPr>
            <w:rFonts w:ascii="Bookman Old Style" w:eastAsia="Times New Roman" w:hAnsi="Bookman Old Style"/>
            <w:lang w:eastAsia="fr-FR"/>
          </w:rPr>
          <w:t xml:space="preserve">Varian </w:t>
        </w:r>
      </w:hyperlink>
      <w:r w:rsidRPr="00A817E7">
        <w:rPr>
          <w:rFonts w:ascii="Bookman Old Style" w:eastAsia="Times New Roman" w:hAnsi="Bookman Old Style"/>
          <w:lang w:eastAsia="fr-FR"/>
        </w:rPr>
        <w:t xml:space="preserve">H., (2000), </w:t>
      </w:r>
      <w:r w:rsidRPr="00A817E7">
        <w:rPr>
          <w:rFonts w:ascii="Bookman Old Style" w:eastAsia="Times New Roman" w:hAnsi="Bookman Old Style"/>
          <w:bCs/>
          <w:i/>
          <w:iCs/>
          <w:lang w:eastAsia="fr-FR"/>
        </w:rPr>
        <w:t>Economie de l'information- guide stratégique de l'économie de réseau</w:t>
      </w:r>
      <w:r w:rsidRPr="00A817E7">
        <w:rPr>
          <w:rFonts w:ascii="Bookman Old Style" w:eastAsia="Times New Roman" w:hAnsi="Bookman Old Style"/>
          <w:lang w:eastAsia="fr-FR"/>
        </w:rPr>
        <w:t xml:space="preserve">, De Boeck Université.  (Certains chapitres, ainsi que des exemples sont disponibles en ligne  à l'adresse suivante </w:t>
      </w:r>
      <w:hyperlink r:id="rId54" w:history="1">
        <w:r w:rsidRPr="00A817E7">
          <w:rPr>
            <w:rFonts w:ascii="Bookman Old Style" w:eastAsia="Times New Roman" w:hAnsi="Bookman Old Style"/>
            <w:lang w:eastAsia="fr-FR"/>
          </w:rPr>
          <w:t>http://www.inforules.com</w:t>
        </w:r>
      </w:hyperlink>
      <w:r w:rsidRPr="00A817E7">
        <w:rPr>
          <w:rFonts w:ascii="Bookman Old Style" w:eastAsia="Times New Roman" w:hAnsi="Bookman Old Style"/>
          <w:lang w:eastAsia="fr-FR"/>
        </w:rPr>
        <w:t>)</w:t>
      </w:r>
    </w:p>
    <w:p w:rsidR="00251E4E" w:rsidRPr="00251E4E" w:rsidRDefault="00FD443D" w:rsidP="00251E4E">
      <w:pPr>
        <w:numPr>
          <w:ilvl w:val="0"/>
          <w:numId w:val="31"/>
        </w:numPr>
        <w:spacing w:before="100" w:beforeAutospacing="1" w:after="100" w:afterAutospacing="1" w:line="240" w:lineRule="auto"/>
        <w:jc w:val="both"/>
        <w:rPr>
          <w:rFonts w:ascii="Bookman Old Style" w:hAnsi="Bookman Old Style"/>
          <w:lang w:val="en-US"/>
        </w:rPr>
      </w:pPr>
      <w:r w:rsidRPr="00FD443D">
        <w:rPr>
          <w:rFonts w:ascii="Bookman Old Style" w:eastAsia="Times New Roman" w:hAnsi="Bookman Old Style"/>
          <w:lang w:val="en-US" w:eastAsia="fr-FR"/>
        </w:rPr>
        <w:t xml:space="preserve">Shy, O., (2001), </w:t>
      </w:r>
      <w:r w:rsidRPr="00FD443D">
        <w:rPr>
          <w:rFonts w:ascii="Bookman Old Style" w:eastAsia="Times New Roman" w:hAnsi="Bookman Old Style"/>
          <w:bCs/>
          <w:i/>
          <w:iCs/>
          <w:lang w:val="en-US" w:eastAsia="fr-FR"/>
        </w:rPr>
        <w:t>The economics of network industries</w:t>
      </w:r>
      <w:r w:rsidRPr="00FD443D">
        <w:rPr>
          <w:rFonts w:ascii="Bookman Old Style" w:eastAsia="Times New Roman" w:hAnsi="Bookman Old Style"/>
          <w:iCs/>
          <w:lang w:val="en-US" w:eastAsia="fr-FR"/>
        </w:rPr>
        <w:t>,</w:t>
      </w:r>
      <w:r w:rsidRPr="00FD443D">
        <w:rPr>
          <w:rFonts w:ascii="Bookman Old Style" w:eastAsia="Times New Roman" w:hAnsi="Bookman Old Style"/>
          <w:lang w:val="en-US" w:eastAsia="fr-FR"/>
        </w:rPr>
        <w:t xml:space="preserve"> Cambridge University Press.</w:t>
      </w:r>
    </w:p>
    <w:p w:rsidR="00251E4E" w:rsidRPr="00251E4E" w:rsidRDefault="00251E4E" w:rsidP="00251E4E">
      <w:pPr>
        <w:spacing w:before="100" w:beforeAutospacing="1" w:after="100" w:afterAutospacing="1" w:line="240" w:lineRule="auto"/>
        <w:ind w:left="360"/>
        <w:jc w:val="both"/>
        <w:rPr>
          <w:rFonts w:ascii="Bookman Old Style" w:hAnsi="Bookman Old Style"/>
          <w:lang w:val="en-US"/>
        </w:rPr>
      </w:pPr>
    </w:p>
    <w:p w:rsidR="00251E4E" w:rsidRPr="00A24970" w:rsidRDefault="00251E4E" w:rsidP="00251E4E">
      <w:pPr>
        <w:spacing w:before="100" w:beforeAutospacing="1" w:after="100" w:afterAutospacing="1" w:line="240" w:lineRule="auto"/>
        <w:jc w:val="both"/>
        <w:rPr>
          <w:rFonts w:ascii="Bookman Old Style" w:hAnsi="Bookman Old Style"/>
        </w:rPr>
      </w:pPr>
      <w:r w:rsidRPr="00AE4E48">
        <w:rPr>
          <w:rFonts w:ascii="Bookman Old Style" w:hAnsi="Bookman Old Style"/>
          <w:b/>
        </w:rPr>
        <w:t>Contrôle des connaissances : examen écrit.</w:t>
      </w:r>
      <w:r w:rsidR="00ED2665" w:rsidRPr="00A24970">
        <w:rPr>
          <w:rFonts w:ascii="Bookman Old Style" w:hAnsi="Bookman Old Style"/>
        </w:rPr>
        <w:br w:type="page"/>
      </w:r>
    </w:p>
    <w:p w:rsidR="00E135AA" w:rsidRPr="00ED2665" w:rsidRDefault="00ED2665" w:rsidP="00ED2665">
      <w:pPr>
        <w:jc w:val="center"/>
        <w:rPr>
          <w:rFonts w:ascii="Bookman Old Style" w:hAnsi="Bookman Old Style"/>
          <w:b/>
        </w:rPr>
      </w:pPr>
      <w:r w:rsidRPr="00ED2665">
        <w:rPr>
          <w:rFonts w:ascii="Bookman Old Style" w:hAnsi="Bookman Old Style"/>
          <w:b/>
        </w:rPr>
        <w:lastRenderedPageBreak/>
        <w:t>Economie du droit de la concurrence</w:t>
      </w:r>
    </w:p>
    <w:p w:rsidR="00ED2665" w:rsidRPr="00ED2665" w:rsidRDefault="00ED2665" w:rsidP="00ED2665">
      <w:pPr>
        <w:jc w:val="center"/>
        <w:rPr>
          <w:rFonts w:ascii="Bookman Old Style" w:hAnsi="Bookman Old Style"/>
          <w:b/>
        </w:rPr>
      </w:pPr>
      <w:r w:rsidRPr="00ED2665">
        <w:rPr>
          <w:rFonts w:ascii="Bookman Old Style" w:hAnsi="Bookman Old Style"/>
          <w:b/>
        </w:rPr>
        <w:t>M Souam</w:t>
      </w:r>
    </w:p>
    <w:p w:rsidR="001359C1" w:rsidRDefault="001359C1" w:rsidP="001359C1"/>
    <w:p w:rsidR="001359C1" w:rsidRPr="00753743" w:rsidRDefault="001359C1" w:rsidP="001359C1">
      <w:pPr>
        <w:jc w:val="both"/>
        <w:rPr>
          <w:rFonts w:ascii="Bookman Old Style" w:hAnsi="Bookman Old Style" w:cs="Times New Roman"/>
          <w:b/>
        </w:rPr>
      </w:pPr>
      <w:r w:rsidRPr="00753743">
        <w:rPr>
          <w:rFonts w:ascii="Bookman Old Style" w:hAnsi="Bookman Old Style" w:cs="Times New Roman"/>
          <w:b/>
        </w:rPr>
        <w:t xml:space="preserve">Introduction </w:t>
      </w:r>
    </w:p>
    <w:p w:rsidR="001359C1" w:rsidRPr="00753743" w:rsidRDefault="001359C1" w:rsidP="001359C1">
      <w:pPr>
        <w:jc w:val="both"/>
        <w:rPr>
          <w:rFonts w:ascii="Bookman Old Style" w:hAnsi="Bookman Old Style" w:cs="Times New Roman"/>
          <w:b/>
        </w:rPr>
      </w:pPr>
      <w:r w:rsidRPr="00753743">
        <w:rPr>
          <w:rFonts w:ascii="Bookman Old Style" w:hAnsi="Bookman Old Style" w:cs="Times New Roman"/>
          <w:b/>
        </w:rPr>
        <w:t xml:space="preserve">Chapitre 1 Les cartels et la collusion tacite </w:t>
      </w:r>
    </w:p>
    <w:p w:rsidR="001359C1" w:rsidRPr="00753743" w:rsidRDefault="001359C1" w:rsidP="001359C1">
      <w:pPr>
        <w:jc w:val="both"/>
        <w:rPr>
          <w:rFonts w:ascii="Bookman Old Style" w:hAnsi="Bookman Old Style" w:cs="Times New Roman"/>
          <w:b/>
        </w:rPr>
      </w:pPr>
      <w:r w:rsidRPr="00753743">
        <w:rPr>
          <w:rFonts w:ascii="Bookman Old Style" w:hAnsi="Bookman Old Style" w:cs="Times New Roman"/>
          <w:b/>
        </w:rPr>
        <w:t>Chapitre 2 Les sanctions en droit de la concurrence : une analyse économique</w:t>
      </w:r>
    </w:p>
    <w:p w:rsidR="001359C1" w:rsidRPr="00753743" w:rsidRDefault="001359C1" w:rsidP="001359C1">
      <w:pPr>
        <w:jc w:val="both"/>
        <w:rPr>
          <w:rFonts w:ascii="Bookman Old Style" w:hAnsi="Bookman Old Style" w:cs="Times New Roman"/>
          <w:b/>
        </w:rPr>
      </w:pPr>
      <w:r w:rsidRPr="00753743">
        <w:rPr>
          <w:rFonts w:ascii="Bookman Old Style" w:hAnsi="Bookman Old Style" w:cs="Times New Roman"/>
          <w:b/>
        </w:rPr>
        <w:t>Chapitre 3 Etude de cas : les cartels des vitamines</w:t>
      </w:r>
    </w:p>
    <w:p w:rsidR="001359C1" w:rsidRPr="00753743" w:rsidRDefault="001359C1" w:rsidP="001359C1">
      <w:pPr>
        <w:jc w:val="both"/>
        <w:rPr>
          <w:rFonts w:ascii="Bookman Old Style" w:hAnsi="Bookman Old Style" w:cs="Times New Roman"/>
        </w:rPr>
      </w:pPr>
      <w:r w:rsidRPr="00753743">
        <w:rPr>
          <w:rFonts w:ascii="Bookman Old Style" w:hAnsi="Bookman Old Style" w:cs="Times New Roman"/>
          <w:b/>
        </w:rPr>
        <w:t>Chapitre 4 Les programmes de clémence : principe et efficacité</w:t>
      </w:r>
    </w:p>
    <w:p w:rsidR="001359C1" w:rsidRPr="00753743" w:rsidRDefault="001359C1" w:rsidP="001359C1">
      <w:pPr>
        <w:jc w:val="both"/>
        <w:rPr>
          <w:rFonts w:ascii="Bookman Old Style" w:hAnsi="Bookman Old Style" w:cs="Times New Roman"/>
          <w:b/>
        </w:rPr>
      </w:pPr>
      <w:r w:rsidRPr="00753743">
        <w:rPr>
          <w:rFonts w:ascii="Bookman Old Style" w:hAnsi="Bookman Old Style" w:cs="Times New Roman"/>
          <w:b/>
        </w:rPr>
        <w:t>Chapitre 5 Les procédures d’engagement en droit de la concurrence</w:t>
      </w:r>
    </w:p>
    <w:p w:rsidR="001359C1" w:rsidRPr="00753743" w:rsidRDefault="001359C1" w:rsidP="001359C1">
      <w:pPr>
        <w:jc w:val="both"/>
        <w:rPr>
          <w:rFonts w:ascii="Bookman Old Style" w:hAnsi="Bookman Old Style" w:cs="Times New Roman"/>
          <w:b/>
        </w:rPr>
      </w:pPr>
      <w:r w:rsidRPr="00753743">
        <w:rPr>
          <w:rFonts w:ascii="Bookman Old Style" w:hAnsi="Bookman Old Style" w:cs="Times New Roman"/>
          <w:b/>
        </w:rPr>
        <w:t>Chapitre 6 La mise en œuvre privée du droit de la concurrence</w:t>
      </w:r>
    </w:p>
    <w:p w:rsidR="001359C1" w:rsidRDefault="001359C1" w:rsidP="001359C1">
      <w:pPr>
        <w:pStyle w:val="Titre4"/>
        <w:rPr>
          <w:rFonts w:ascii="Bookman Old Style" w:hAnsi="Bookman Old Style"/>
        </w:rPr>
      </w:pPr>
    </w:p>
    <w:p w:rsidR="001359C1" w:rsidRPr="00753743" w:rsidRDefault="001359C1" w:rsidP="001359C1">
      <w:pPr>
        <w:pStyle w:val="Titre4"/>
        <w:rPr>
          <w:rFonts w:ascii="Bookman Old Style" w:hAnsi="Bookman Old Style"/>
        </w:rPr>
      </w:pPr>
      <w:r w:rsidRPr="00753743">
        <w:rPr>
          <w:rFonts w:ascii="Bookman Old Style" w:hAnsi="Bookman Old Style"/>
        </w:rPr>
        <w:t>Bibliographie sélective</w:t>
      </w:r>
    </w:p>
    <w:p w:rsidR="001359C1" w:rsidRPr="00753743" w:rsidRDefault="001359C1" w:rsidP="001359C1">
      <w:pPr>
        <w:jc w:val="both"/>
        <w:rPr>
          <w:rFonts w:ascii="Bookman Old Style" w:hAnsi="Bookman Old Style" w:cs="Times New Roman"/>
          <w:lang w:eastAsia="fr-FR"/>
        </w:rPr>
      </w:pPr>
      <w:r w:rsidRPr="00753743">
        <w:rPr>
          <w:rFonts w:ascii="Bookman Old Style" w:hAnsi="Bookman Old Style" w:cs="Times New Roman"/>
          <w:bCs/>
          <w:lang w:eastAsia="fr-FR"/>
        </w:rPr>
        <w:t xml:space="preserve">Combe, E. (2005), </w:t>
      </w:r>
      <w:r w:rsidRPr="00753743">
        <w:rPr>
          <w:rFonts w:ascii="Bookman Old Style" w:hAnsi="Bookman Old Style" w:cs="Times New Roman"/>
          <w:bCs/>
          <w:i/>
          <w:lang w:eastAsia="fr-FR"/>
        </w:rPr>
        <w:t>Economie et politique de la concurrence</w:t>
      </w:r>
      <w:r w:rsidRPr="00753743">
        <w:rPr>
          <w:rFonts w:ascii="Bookman Old Style" w:hAnsi="Bookman Old Style" w:cs="Times New Roman"/>
          <w:bCs/>
          <w:lang w:eastAsia="fr-FR"/>
        </w:rPr>
        <w:t>, Précis Dalloz, Paris.</w:t>
      </w:r>
    </w:p>
    <w:p w:rsidR="001359C1" w:rsidRPr="00A24970" w:rsidRDefault="001359C1" w:rsidP="001359C1">
      <w:pPr>
        <w:jc w:val="both"/>
        <w:rPr>
          <w:rFonts w:ascii="Bookman Old Style" w:hAnsi="Bookman Old Style" w:cs="Times New Roman"/>
          <w:bCs/>
          <w:lang w:val="en-US" w:eastAsia="fr-FR"/>
        </w:rPr>
      </w:pPr>
      <w:r w:rsidRPr="00753743">
        <w:rPr>
          <w:rFonts w:ascii="Bookman Old Style" w:hAnsi="Bookman Old Style" w:cs="Times New Roman"/>
          <w:bCs/>
          <w:lang w:eastAsia="fr-FR"/>
        </w:rPr>
        <w:t xml:space="preserve">Encaoua, D. et R. Guesnerie (2006), </w:t>
      </w:r>
      <w:r w:rsidRPr="00753743">
        <w:rPr>
          <w:rFonts w:ascii="Bookman Old Style" w:hAnsi="Bookman Old Style" w:cs="Times New Roman"/>
          <w:bCs/>
          <w:i/>
          <w:lang w:eastAsia="fr-FR"/>
        </w:rPr>
        <w:t>Politiques de la concurrence,</w:t>
      </w:r>
      <w:r w:rsidRPr="00753743">
        <w:rPr>
          <w:rFonts w:ascii="Bookman Old Style" w:hAnsi="Bookman Old Style" w:cs="Times New Roman"/>
          <w:bCs/>
          <w:lang w:eastAsia="fr-FR"/>
        </w:rPr>
        <w:t xml:space="preserve"> Rapport du Conseil d'Analyse Economique, La Documentation Française. </w:t>
      </w:r>
      <w:r w:rsidRPr="00A24970">
        <w:rPr>
          <w:rFonts w:ascii="Bookman Old Style" w:hAnsi="Bookman Old Style" w:cs="Times New Roman"/>
          <w:bCs/>
          <w:lang w:val="en-US" w:eastAsia="fr-FR"/>
        </w:rPr>
        <w:t>Paris.</w:t>
      </w:r>
    </w:p>
    <w:p w:rsidR="001359C1" w:rsidRPr="00753743" w:rsidRDefault="001359C1" w:rsidP="001359C1">
      <w:pPr>
        <w:jc w:val="both"/>
        <w:rPr>
          <w:rFonts w:ascii="Bookman Old Style" w:hAnsi="Bookman Old Style" w:cs="Times New Roman"/>
          <w:lang w:val="en-US" w:eastAsia="fr-FR"/>
        </w:rPr>
      </w:pPr>
      <w:r w:rsidRPr="00753743">
        <w:rPr>
          <w:rFonts w:ascii="Bookman Old Style" w:hAnsi="Bookman Old Style" w:cs="Times New Roman"/>
          <w:lang w:val="en-US" w:eastAsia="fr-FR"/>
        </w:rPr>
        <w:t xml:space="preserve">Ghosal, V. et J. Stennek editors (2007), </w:t>
      </w:r>
      <w:r w:rsidRPr="00753743">
        <w:rPr>
          <w:rFonts w:ascii="Bookman Old Style" w:hAnsi="Bookman Old Style" w:cs="Times New Roman"/>
          <w:i/>
          <w:lang w:val="en-US" w:eastAsia="fr-FR"/>
        </w:rPr>
        <w:t>The Political Economy of Antitrust</w:t>
      </w:r>
      <w:r w:rsidRPr="00753743">
        <w:rPr>
          <w:rFonts w:ascii="Bookman Old Style" w:hAnsi="Bookman Old Style" w:cs="Times New Roman"/>
          <w:lang w:val="en-US" w:eastAsia="fr-FR"/>
        </w:rPr>
        <w:t>, Emerald, contributions to economic analysis.</w:t>
      </w:r>
    </w:p>
    <w:p w:rsidR="00020403" w:rsidRDefault="001359C1" w:rsidP="001359C1">
      <w:pPr>
        <w:rPr>
          <w:rFonts w:ascii="Bookman Old Style" w:hAnsi="Bookman Old Style" w:cs="Times New Roman"/>
          <w:bCs/>
          <w:lang w:val="en-GB" w:eastAsia="fr-FR"/>
        </w:rPr>
      </w:pPr>
      <w:r w:rsidRPr="00753743">
        <w:rPr>
          <w:rFonts w:ascii="Bookman Old Style" w:hAnsi="Bookman Old Style" w:cs="Times New Roman"/>
          <w:bCs/>
          <w:lang w:val="en-GB" w:eastAsia="fr-FR"/>
        </w:rPr>
        <w:t xml:space="preserve">Motta M. (2004), </w:t>
      </w:r>
      <w:r w:rsidRPr="00753743">
        <w:rPr>
          <w:rFonts w:ascii="Bookman Old Style" w:hAnsi="Bookman Old Style" w:cs="Times New Roman"/>
          <w:bCs/>
          <w:i/>
          <w:lang w:val="en-GB" w:eastAsia="fr-FR"/>
        </w:rPr>
        <w:t>Competition Policy. Theory and Practice</w:t>
      </w:r>
      <w:r w:rsidRPr="00753743">
        <w:rPr>
          <w:rFonts w:ascii="Bookman Old Style" w:hAnsi="Bookman Old Style" w:cs="Times New Roman"/>
          <w:bCs/>
          <w:lang w:val="en-GB" w:eastAsia="fr-FR"/>
        </w:rPr>
        <w:t>, Cambridge University Press.</w:t>
      </w:r>
    </w:p>
    <w:p w:rsidR="00020403" w:rsidRDefault="00020403" w:rsidP="001359C1">
      <w:pPr>
        <w:rPr>
          <w:rFonts w:ascii="Bookman Old Style" w:hAnsi="Bookman Old Style" w:cs="Times New Roman"/>
          <w:bCs/>
          <w:lang w:val="en-GB" w:eastAsia="fr-FR"/>
        </w:rPr>
      </w:pPr>
    </w:p>
    <w:p w:rsidR="00020403" w:rsidRDefault="00020403" w:rsidP="001359C1">
      <w:r w:rsidRPr="00AE4E48">
        <w:rPr>
          <w:rFonts w:ascii="Bookman Old Style" w:hAnsi="Bookman Old Style"/>
          <w:b/>
        </w:rPr>
        <w:t>Contrôle des connaissances : examen écrit.</w:t>
      </w:r>
      <w:r w:rsidR="00AC7E06">
        <w:br w:type="page"/>
      </w:r>
    </w:p>
    <w:p w:rsidR="00856739" w:rsidRDefault="00C71C38" w:rsidP="00856739">
      <w:pPr>
        <w:spacing w:after="0" w:line="240" w:lineRule="auto"/>
        <w:jc w:val="center"/>
        <w:rPr>
          <w:rFonts w:ascii="Bookman Old Style" w:eastAsia="Calibri" w:hAnsi="Bookman Old Style" w:cs="Times New Roman"/>
          <w:b/>
          <w:lang w:val="fr-BE"/>
        </w:rPr>
      </w:pPr>
      <w:r>
        <w:rPr>
          <w:rFonts w:ascii="Bookman Old Style" w:eastAsia="Calibri" w:hAnsi="Bookman Old Style" w:cs="Times New Roman"/>
          <w:b/>
          <w:lang w:val="fr-BE"/>
        </w:rPr>
        <w:lastRenderedPageBreak/>
        <w:t>Droit européen des contrats et de la consommation</w:t>
      </w:r>
    </w:p>
    <w:p w:rsidR="00C71C38" w:rsidRPr="00054B36" w:rsidRDefault="00C71C38" w:rsidP="00856739">
      <w:pPr>
        <w:spacing w:after="0" w:line="240" w:lineRule="auto"/>
        <w:jc w:val="center"/>
        <w:rPr>
          <w:rFonts w:ascii="Bookman Old Style" w:eastAsia="Calibri" w:hAnsi="Bookman Old Style" w:cs="Times New Roman"/>
          <w:b/>
          <w:lang w:val="fr-BE"/>
        </w:rPr>
      </w:pPr>
    </w:p>
    <w:p w:rsidR="00856739" w:rsidRPr="00856739" w:rsidRDefault="00856739" w:rsidP="00856739">
      <w:pPr>
        <w:spacing w:after="0" w:line="240" w:lineRule="auto"/>
        <w:jc w:val="center"/>
        <w:rPr>
          <w:rFonts w:ascii="Bookman Old Style" w:eastAsia="Calibri" w:hAnsi="Bookman Old Style" w:cs="Times New Roman"/>
          <w:b/>
          <w:lang w:val="fr-BE"/>
        </w:rPr>
      </w:pPr>
      <w:r>
        <w:rPr>
          <w:rFonts w:ascii="Bookman Old Style" w:hAnsi="Bookman Old Style"/>
          <w:b/>
          <w:lang w:val="fr-BE"/>
        </w:rPr>
        <w:t>Mme</w:t>
      </w:r>
      <w:r w:rsidRPr="00856739">
        <w:rPr>
          <w:rFonts w:ascii="Bookman Old Style" w:eastAsia="Calibri" w:hAnsi="Bookman Old Style" w:cs="Times New Roman"/>
          <w:b/>
          <w:lang w:val="fr-BE"/>
        </w:rPr>
        <w:t xml:space="preserve"> L</w:t>
      </w:r>
      <w:r w:rsidR="007B4340">
        <w:rPr>
          <w:rFonts w:ascii="Bookman Old Style" w:eastAsia="Calibri" w:hAnsi="Bookman Old Style" w:cs="Times New Roman"/>
          <w:b/>
          <w:lang w:val="fr-BE"/>
        </w:rPr>
        <w:t>EBLOND</w:t>
      </w:r>
    </w:p>
    <w:p w:rsidR="00856739" w:rsidRPr="00054B36" w:rsidRDefault="00856739" w:rsidP="00856739">
      <w:pPr>
        <w:spacing w:after="0" w:line="240" w:lineRule="auto"/>
        <w:rPr>
          <w:rFonts w:ascii="Bookman Old Style" w:eastAsia="Calibri" w:hAnsi="Bookman Old Style" w:cs="Times New Roman"/>
          <w:lang w:val="fr-BE"/>
        </w:rPr>
      </w:pPr>
    </w:p>
    <w:p w:rsidR="00856739" w:rsidRPr="00054B36" w:rsidRDefault="00856739" w:rsidP="00856739">
      <w:pPr>
        <w:spacing w:after="0" w:line="240" w:lineRule="auto"/>
        <w:rPr>
          <w:rFonts w:ascii="Bookman Old Style" w:eastAsia="Calibri" w:hAnsi="Bookman Old Style" w:cs="Times New Roman"/>
          <w:lang w:val="fr-BE"/>
        </w:rPr>
      </w:pPr>
    </w:p>
    <w:p w:rsidR="00856739" w:rsidRPr="00054B36" w:rsidRDefault="00856739" w:rsidP="00856739">
      <w:pPr>
        <w:spacing w:after="0" w:line="240" w:lineRule="auto"/>
        <w:rPr>
          <w:rFonts w:ascii="Bookman Old Style" w:eastAsia="Calibri" w:hAnsi="Bookman Old Style" w:cs="Times New Roman"/>
          <w:b/>
          <w:lang w:val="fr-BE"/>
        </w:rPr>
      </w:pPr>
      <w:r w:rsidRPr="00054B36">
        <w:rPr>
          <w:rFonts w:ascii="Bookman Old Style" w:eastAsia="Calibri" w:hAnsi="Bookman Old Style" w:cs="Times New Roman"/>
          <w:b/>
          <w:lang w:val="fr-BE"/>
        </w:rPr>
        <w:t>Considérations introductives</w:t>
      </w:r>
    </w:p>
    <w:p w:rsidR="00856739" w:rsidRPr="00054B36" w:rsidRDefault="00856739" w:rsidP="00856739">
      <w:pPr>
        <w:spacing w:after="0" w:line="240" w:lineRule="auto"/>
        <w:rPr>
          <w:rFonts w:ascii="Bookman Old Style" w:eastAsia="Calibri" w:hAnsi="Bookman Old Style" w:cs="Times New Roman"/>
          <w:lang w:val="fr-BE"/>
        </w:rPr>
      </w:pPr>
    </w:p>
    <w:p w:rsidR="00856739" w:rsidRPr="00054B36" w:rsidRDefault="00856739" w:rsidP="00856739">
      <w:pPr>
        <w:spacing w:after="0" w:line="240" w:lineRule="auto"/>
        <w:rPr>
          <w:rFonts w:ascii="Bookman Old Style" w:eastAsia="Calibri" w:hAnsi="Bookman Old Style" w:cs="Times New Roman"/>
          <w:lang w:val="fr-BE"/>
        </w:rPr>
      </w:pPr>
    </w:p>
    <w:p w:rsidR="00856739" w:rsidRPr="00054B36" w:rsidRDefault="00856739" w:rsidP="00856739">
      <w:pPr>
        <w:spacing w:after="0" w:line="240" w:lineRule="auto"/>
        <w:jc w:val="center"/>
        <w:rPr>
          <w:rFonts w:ascii="Bookman Old Style" w:eastAsia="Calibri" w:hAnsi="Bookman Old Style" w:cs="Times New Roman"/>
          <w:b/>
          <w:caps/>
          <w:lang w:val="fr-BE"/>
        </w:rPr>
      </w:pPr>
      <w:r w:rsidRPr="00054B36">
        <w:rPr>
          <w:rFonts w:ascii="Bookman Old Style" w:eastAsia="Calibri" w:hAnsi="Bookman Old Style" w:cs="Times New Roman"/>
          <w:b/>
          <w:caps/>
          <w:lang w:val="fr-BE"/>
        </w:rPr>
        <w:t xml:space="preserve">—  I —  </w:t>
      </w:r>
    </w:p>
    <w:p w:rsidR="00856739" w:rsidRPr="00054B36" w:rsidRDefault="00856739" w:rsidP="00856739">
      <w:pPr>
        <w:spacing w:after="0" w:line="240" w:lineRule="auto"/>
        <w:jc w:val="center"/>
        <w:rPr>
          <w:rFonts w:ascii="Bookman Old Style" w:eastAsia="Calibri" w:hAnsi="Bookman Old Style" w:cs="Times New Roman"/>
          <w:b/>
          <w:caps/>
          <w:lang w:val="fr-BE"/>
        </w:rPr>
      </w:pPr>
      <w:r w:rsidRPr="00054B36">
        <w:rPr>
          <w:rFonts w:ascii="Bookman Old Style" w:eastAsia="Calibri" w:hAnsi="Bookman Old Style" w:cs="Times New Roman"/>
          <w:b/>
          <w:caps/>
          <w:lang w:val="fr-BE"/>
        </w:rPr>
        <w:t>Les droits européens des contrats</w:t>
      </w:r>
    </w:p>
    <w:p w:rsidR="00856739" w:rsidRPr="00054B36" w:rsidRDefault="00856739" w:rsidP="00856739">
      <w:pPr>
        <w:spacing w:after="0" w:line="240" w:lineRule="auto"/>
        <w:rPr>
          <w:rFonts w:ascii="Bookman Old Style" w:eastAsia="Calibri" w:hAnsi="Bookman Old Style" w:cs="Times New Roman"/>
          <w:lang w:val="fr-BE"/>
        </w:rPr>
      </w:pPr>
    </w:p>
    <w:p w:rsidR="00856739" w:rsidRPr="00054B36" w:rsidRDefault="00856739" w:rsidP="00856739">
      <w:pPr>
        <w:numPr>
          <w:ilvl w:val="0"/>
          <w:numId w:val="19"/>
        </w:numPr>
        <w:spacing w:after="0" w:line="240" w:lineRule="auto"/>
        <w:rPr>
          <w:rFonts w:ascii="Bookman Old Style" w:eastAsia="Calibri" w:hAnsi="Bookman Old Style" w:cs="Times New Roman"/>
          <w:lang w:val="fr-BE"/>
        </w:rPr>
      </w:pPr>
      <w:r w:rsidRPr="00054B36">
        <w:rPr>
          <w:rFonts w:ascii="Bookman Old Style" w:eastAsia="Calibri" w:hAnsi="Bookman Old Style" w:cs="Times New Roman"/>
          <w:lang w:val="fr-BE"/>
        </w:rPr>
        <w:t>Les domaines du contrat</w:t>
      </w:r>
    </w:p>
    <w:p w:rsidR="00856739" w:rsidRPr="00054B36" w:rsidRDefault="00856739" w:rsidP="00856739">
      <w:pPr>
        <w:numPr>
          <w:ilvl w:val="0"/>
          <w:numId w:val="19"/>
        </w:numPr>
        <w:spacing w:after="0" w:line="240" w:lineRule="auto"/>
        <w:rPr>
          <w:rFonts w:ascii="Bookman Old Style" w:eastAsia="Calibri" w:hAnsi="Bookman Old Style" w:cs="Times New Roman"/>
          <w:lang w:val="fr-BE"/>
        </w:rPr>
      </w:pPr>
      <w:r w:rsidRPr="00054B36">
        <w:rPr>
          <w:rFonts w:ascii="Bookman Old Style" w:eastAsia="Calibri" w:hAnsi="Bookman Old Style" w:cs="Times New Roman"/>
          <w:lang w:val="fr-BE"/>
        </w:rPr>
        <w:t>Les définitions du contrat</w:t>
      </w:r>
    </w:p>
    <w:p w:rsidR="00856739" w:rsidRPr="00054B36" w:rsidRDefault="00856739" w:rsidP="00856739">
      <w:pPr>
        <w:numPr>
          <w:ilvl w:val="0"/>
          <w:numId w:val="19"/>
        </w:numPr>
        <w:spacing w:after="0" w:line="240" w:lineRule="auto"/>
        <w:rPr>
          <w:rFonts w:ascii="Bookman Old Style" w:eastAsia="Calibri" w:hAnsi="Bookman Old Style" w:cs="Times New Roman"/>
          <w:lang w:val="fr-BE"/>
        </w:rPr>
      </w:pPr>
      <w:r w:rsidRPr="00054B36">
        <w:rPr>
          <w:rFonts w:ascii="Bookman Old Style" w:eastAsia="Calibri" w:hAnsi="Bookman Old Style" w:cs="Times New Roman"/>
          <w:lang w:val="fr-BE"/>
        </w:rPr>
        <w:t>Les problématiques du contrat</w:t>
      </w:r>
    </w:p>
    <w:p w:rsidR="00856739" w:rsidRPr="00054B36" w:rsidRDefault="00856739" w:rsidP="00856739">
      <w:pPr>
        <w:numPr>
          <w:ilvl w:val="0"/>
          <w:numId w:val="19"/>
        </w:numPr>
        <w:spacing w:after="0" w:line="240" w:lineRule="auto"/>
        <w:rPr>
          <w:rFonts w:ascii="Bookman Old Style" w:eastAsia="Calibri" w:hAnsi="Bookman Old Style" w:cs="Times New Roman"/>
          <w:lang w:val="fr-BE"/>
        </w:rPr>
      </w:pPr>
      <w:r w:rsidRPr="00054B36">
        <w:rPr>
          <w:rFonts w:ascii="Bookman Old Style" w:eastAsia="Calibri" w:hAnsi="Bookman Old Style" w:cs="Times New Roman"/>
          <w:lang w:val="fr-BE"/>
        </w:rPr>
        <w:t>Les sources étudiées</w:t>
      </w:r>
    </w:p>
    <w:p w:rsidR="00856739" w:rsidRPr="00054B36" w:rsidRDefault="00856739" w:rsidP="00856739">
      <w:pPr>
        <w:spacing w:after="0" w:line="240" w:lineRule="auto"/>
        <w:rPr>
          <w:rFonts w:ascii="Bookman Old Style" w:eastAsia="Calibri" w:hAnsi="Bookman Old Style" w:cs="Times New Roman"/>
          <w:lang w:val="fr-BE"/>
        </w:rPr>
      </w:pPr>
    </w:p>
    <w:p w:rsidR="00856739" w:rsidRPr="00054B36" w:rsidRDefault="00856739" w:rsidP="00856739">
      <w:pPr>
        <w:spacing w:after="0" w:line="240" w:lineRule="auto"/>
        <w:jc w:val="center"/>
        <w:rPr>
          <w:rFonts w:ascii="Bookman Old Style" w:eastAsia="Calibri" w:hAnsi="Bookman Old Style" w:cs="Times New Roman"/>
          <w:lang w:val="fr-BE"/>
        </w:rPr>
      </w:pPr>
      <w:r w:rsidRPr="00054B36">
        <w:rPr>
          <w:rFonts w:ascii="Bookman Old Style" w:eastAsia="Calibri" w:hAnsi="Bookman Old Style" w:cs="Times New Roman"/>
          <w:lang w:val="fr-BE"/>
        </w:rPr>
        <w:t xml:space="preserve">—  A —  </w:t>
      </w:r>
    </w:p>
    <w:p w:rsidR="00856739" w:rsidRPr="00054B36" w:rsidRDefault="00856739" w:rsidP="00856739">
      <w:pPr>
        <w:spacing w:after="0" w:line="240" w:lineRule="auto"/>
        <w:jc w:val="center"/>
        <w:rPr>
          <w:rFonts w:ascii="Bookman Old Style" w:eastAsia="Calibri" w:hAnsi="Bookman Old Style" w:cs="Times New Roman"/>
          <w:smallCaps/>
          <w:lang w:val="fr-BE"/>
        </w:rPr>
      </w:pPr>
      <w:r w:rsidRPr="00054B36">
        <w:rPr>
          <w:rFonts w:ascii="Bookman Old Style" w:eastAsia="Calibri" w:hAnsi="Bookman Old Style" w:cs="Times New Roman"/>
          <w:smallCaps/>
          <w:lang w:val="fr-BE"/>
        </w:rPr>
        <w:t>Les conditions du contrat</w:t>
      </w:r>
    </w:p>
    <w:p w:rsidR="00856739" w:rsidRPr="00054B36" w:rsidRDefault="00856739" w:rsidP="00856739">
      <w:pPr>
        <w:spacing w:after="0" w:line="240" w:lineRule="auto"/>
        <w:rPr>
          <w:rFonts w:ascii="Bookman Old Style" w:eastAsia="Calibri" w:hAnsi="Bookman Old Style" w:cs="Times New Roman"/>
          <w:lang w:val="fr-BE"/>
        </w:rPr>
      </w:pPr>
    </w:p>
    <w:p w:rsidR="00856739" w:rsidRPr="00054B36" w:rsidRDefault="00856739" w:rsidP="00856739">
      <w:pPr>
        <w:spacing w:after="0" w:line="240" w:lineRule="auto"/>
        <w:ind w:left="720"/>
        <w:rPr>
          <w:rFonts w:ascii="Bookman Old Style" w:eastAsia="Calibri" w:hAnsi="Bookman Old Style" w:cs="Times New Roman"/>
          <w:lang w:val="fr-BE"/>
        </w:rPr>
      </w:pPr>
      <w:r w:rsidRPr="00054B36">
        <w:rPr>
          <w:rFonts w:ascii="Bookman Old Style" w:eastAsia="Calibri" w:hAnsi="Bookman Old Style" w:cs="Times New Roman"/>
          <w:lang w:val="fr-BE"/>
        </w:rPr>
        <w:t>1) —  Les conditions de forme</w:t>
      </w:r>
    </w:p>
    <w:p w:rsidR="00856739" w:rsidRPr="00054B36" w:rsidRDefault="00856739" w:rsidP="00856739">
      <w:pPr>
        <w:numPr>
          <w:ilvl w:val="0"/>
          <w:numId w:val="20"/>
        </w:numPr>
        <w:spacing w:after="0" w:line="240" w:lineRule="auto"/>
        <w:rPr>
          <w:rFonts w:ascii="Bookman Old Style" w:eastAsia="Calibri" w:hAnsi="Bookman Old Style" w:cs="Times New Roman"/>
          <w:lang w:val="fr-BE"/>
        </w:rPr>
      </w:pPr>
      <w:r w:rsidRPr="00054B36">
        <w:rPr>
          <w:rFonts w:ascii="Bookman Old Style" w:eastAsia="Calibri" w:hAnsi="Bookman Old Style" w:cs="Times New Roman"/>
          <w:lang w:val="fr-BE"/>
        </w:rPr>
        <w:t>Condition de validité</w:t>
      </w:r>
    </w:p>
    <w:p w:rsidR="00856739" w:rsidRPr="00054B36" w:rsidRDefault="00856739" w:rsidP="00856739">
      <w:pPr>
        <w:numPr>
          <w:ilvl w:val="0"/>
          <w:numId w:val="20"/>
        </w:numPr>
        <w:spacing w:after="0" w:line="240" w:lineRule="auto"/>
        <w:rPr>
          <w:rFonts w:ascii="Bookman Old Style" w:eastAsia="Calibri" w:hAnsi="Bookman Old Style" w:cs="Times New Roman"/>
          <w:lang w:val="fr-BE"/>
        </w:rPr>
      </w:pPr>
      <w:r w:rsidRPr="00054B36">
        <w:rPr>
          <w:rFonts w:ascii="Bookman Old Style" w:eastAsia="Calibri" w:hAnsi="Bookman Old Style" w:cs="Times New Roman"/>
          <w:lang w:val="fr-BE"/>
        </w:rPr>
        <w:t>Condition d’opposabilité</w:t>
      </w:r>
    </w:p>
    <w:p w:rsidR="00856739" w:rsidRPr="00054B36" w:rsidRDefault="00856739" w:rsidP="00856739">
      <w:pPr>
        <w:spacing w:after="0" w:line="240" w:lineRule="auto"/>
        <w:ind w:left="720"/>
        <w:rPr>
          <w:rFonts w:ascii="Bookman Old Style" w:eastAsia="Calibri" w:hAnsi="Bookman Old Style" w:cs="Times New Roman"/>
          <w:lang w:val="fr-BE"/>
        </w:rPr>
      </w:pPr>
    </w:p>
    <w:p w:rsidR="00856739" w:rsidRPr="00054B36" w:rsidRDefault="00856739" w:rsidP="00856739">
      <w:pPr>
        <w:spacing w:after="0" w:line="240" w:lineRule="auto"/>
        <w:ind w:left="720"/>
        <w:rPr>
          <w:rFonts w:ascii="Bookman Old Style" w:eastAsia="Calibri" w:hAnsi="Bookman Old Style" w:cs="Times New Roman"/>
          <w:lang w:val="fr-BE"/>
        </w:rPr>
      </w:pPr>
      <w:r w:rsidRPr="00054B36">
        <w:rPr>
          <w:rFonts w:ascii="Bookman Old Style" w:eastAsia="Calibri" w:hAnsi="Bookman Old Style" w:cs="Times New Roman"/>
          <w:lang w:val="fr-BE"/>
        </w:rPr>
        <w:t>2) —  Les conditions de fond</w:t>
      </w:r>
    </w:p>
    <w:p w:rsidR="00856739" w:rsidRPr="00054B36" w:rsidRDefault="00856739" w:rsidP="00856739">
      <w:pPr>
        <w:numPr>
          <w:ilvl w:val="0"/>
          <w:numId w:val="20"/>
        </w:numPr>
        <w:spacing w:after="0" w:line="240" w:lineRule="auto"/>
        <w:rPr>
          <w:rFonts w:ascii="Bookman Old Style" w:eastAsia="Calibri" w:hAnsi="Bookman Old Style" w:cs="Times New Roman"/>
          <w:lang w:val="fr-BE"/>
        </w:rPr>
      </w:pPr>
      <w:r w:rsidRPr="00054B36">
        <w:rPr>
          <w:rFonts w:ascii="Bookman Old Style" w:eastAsia="Calibri" w:hAnsi="Bookman Old Style" w:cs="Times New Roman"/>
          <w:lang w:val="fr-BE"/>
        </w:rPr>
        <w:t>Le consentement</w:t>
      </w:r>
    </w:p>
    <w:p w:rsidR="00856739" w:rsidRPr="00054B36" w:rsidRDefault="00856739" w:rsidP="00856739">
      <w:pPr>
        <w:numPr>
          <w:ilvl w:val="0"/>
          <w:numId w:val="20"/>
        </w:numPr>
        <w:spacing w:after="0" w:line="240" w:lineRule="auto"/>
        <w:rPr>
          <w:rFonts w:ascii="Bookman Old Style" w:eastAsia="Calibri" w:hAnsi="Bookman Old Style" w:cs="Times New Roman"/>
          <w:lang w:val="fr-BE"/>
        </w:rPr>
      </w:pPr>
      <w:r w:rsidRPr="00054B36">
        <w:rPr>
          <w:rFonts w:ascii="Bookman Old Style" w:eastAsia="Calibri" w:hAnsi="Bookman Old Style" w:cs="Times New Roman"/>
          <w:lang w:val="fr-BE"/>
        </w:rPr>
        <w:t>Les autres conditions</w:t>
      </w:r>
    </w:p>
    <w:p w:rsidR="00856739" w:rsidRPr="00054B36" w:rsidRDefault="00856739" w:rsidP="00856739">
      <w:pPr>
        <w:spacing w:after="0" w:line="240" w:lineRule="auto"/>
        <w:ind w:left="720"/>
        <w:rPr>
          <w:rFonts w:ascii="Bookman Old Style" w:eastAsia="Calibri" w:hAnsi="Bookman Old Style" w:cs="Times New Roman"/>
          <w:lang w:val="fr-BE"/>
        </w:rPr>
      </w:pPr>
    </w:p>
    <w:p w:rsidR="00856739" w:rsidRPr="00054B36" w:rsidRDefault="00856739" w:rsidP="00856739">
      <w:pPr>
        <w:spacing w:after="0" w:line="240" w:lineRule="auto"/>
        <w:rPr>
          <w:rFonts w:ascii="Bookman Old Style" w:eastAsia="Calibri" w:hAnsi="Bookman Old Style" w:cs="Times New Roman"/>
          <w:lang w:val="fr-BE"/>
        </w:rPr>
      </w:pPr>
    </w:p>
    <w:p w:rsidR="00856739" w:rsidRPr="00054B36" w:rsidRDefault="00856739" w:rsidP="00856739">
      <w:pPr>
        <w:spacing w:after="0" w:line="240" w:lineRule="auto"/>
        <w:jc w:val="center"/>
        <w:rPr>
          <w:rFonts w:ascii="Bookman Old Style" w:eastAsia="Calibri" w:hAnsi="Bookman Old Style" w:cs="Times New Roman"/>
          <w:lang w:val="fr-BE"/>
        </w:rPr>
      </w:pPr>
      <w:r w:rsidRPr="00054B36">
        <w:rPr>
          <w:rFonts w:ascii="Bookman Old Style" w:eastAsia="Calibri" w:hAnsi="Bookman Old Style" w:cs="Times New Roman"/>
          <w:lang w:val="fr-BE"/>
        </w:rPr>
        <w:t xml:space="preserve">—  B —  </w:t>
      </w:r>
    </w:p>
    <w:p w:rsidR="00856739" w:rsidRPr="00054B36" w:rsidRDefault="00856739" w:rsidP="00856739">
      <w:pPr>
        <w:spacing w:after="0" w:line="240" w:lineRule="auto"/>
        <w:jc w:val="center"/>
        <w:rPr>
          <w:rFonts w:ascii="Bookman Old Style" w:eastAsia="Calibri" w:hAnsi="Bookman Old Style" w:cs="Times New Roman"/>
          <w:smallCaps/>
          <w:lang w:val="fr-BE"/>
        </w:rPr>
      </w:pPr>
      <w:r w:rsidRPr="00054B36">
        <w:rPr>
          <w:rFonts w:ascii="Bookman Old Style" w:eastAsia="Calibri" w:hAnsi="Bookman Old Style" w:cs="Times New Roman"/>
          <w:smallCaps/>
          <w:lang w:val="fr-BE"/>
        </w:rPr>
        <w:t>Les effets du contrat</w:t>
      </w:r>
    </w:p>
    <w:p w:rsidR="00856739" w:rsidRPr="00054B36" w:rsidRDefault="00856739" w:rsidP="00856739">
      <w:pPr>
        <w:spacing w:after="0" w:line="240" w:lineRule="auto"/>
        <w:rPr>
          <w:rFonts w:ascii="Bookman Old Style" w:eastAsia="Calibri" w:hAnsi="Bookman Old Style" w:cs="Times New Roman"/>
          <w:lang w:val="fr-BE"/>
        </w:rPr>
      </w:pPr>
    </w:p>
    <w:p w:rsidR="00856739" w:rsidRPr="00054B36" w:rsidRDefault="00856739" w:rsidP="00856739">
      <w:pPr>
        <w:spacing w:after="0" w:line="240" w:lineRule="auto"/>
        <w:ind w:left="720"/>
        <w:rPr>
          <w:rFonts w:ascii="Bookman Old Style" w:eastAsia="Calibri" w:hAnsi="Bookman Old Style" w:cs="Times New Roman"/>
          <w:lang w:val="fr-BE"/>
        </w:rPr>
      </w:pPr>
      <w:r w:rsidRPr="00054B36">
        <w:rPr>
          <w:rFonts w:ascii="Bookman Old Style" w:eastAsia="Calibri" w:hAnsi="Bookman Old Style" w:cs="Times New Roman"/>
          <w:lang w:val="fr-BE"/>
        </w:rPr>
        <w:t>1) —  L’effet obligatoire</w:t>
      </w:r>
    </w:p>
    <w:p w:rsidR="00856739" w:rsidRPr="00054B36" w:rsidRDefault="00856739" w:rsidP="00856739">
      <w:pPr>
        <w:numPr>
          <w:ilvl w:val="0"/>
          <w:numId w:val="20"/>
        </w:numPr>
        <w:spacing w:after="0" w:line="240" w:lineRule="auto"/>
        <w:rPr>
          <w:rFonts w:ascii="Bookman Old Style" w:eastAsia="Calibri" w:hAnsi="Bookman Old Style" w:cs="Times New Roman"/>
          <w:lang w:val="fr-BE"/>
        </w:rPr>
      </w:pPr>
      <w:r w:rsidRPr="00054B36">
        <w:rPr>
          <w:rFonts w:ascii="Bookman Old Style" w:eastAsia="Calibri" w:hAnsi="Bookman Old Style" w:cs="Times New Roman"/>
          <w:lang w:val="fr-BE"/>
        </w:rPr>
        <w:t xml:space="preserve">Force majeure et imprévision </w:t>
      </w:r>
    </w:p>
    <w:p w:rsidR="00856739" w:rsidRPr="00054B36" w:rsidRDefault="00856739" w:rsidP="00856739">
      <w:pPr>
        <w:numPr>
          <w:ilvl w:val="0"/>
          <w:numId w:val="20"/>
        </w:numPr>
        <w:spacing w:after="0" w:line="240" w:lineRule="auto"/>
        <w:rPr>
          <w:rFonts w:ascii="Bookman Old Style" w:eastAsia="Calibri" w:hAnsi="Bookman Old Style" w:cs="Times New Roman"/>
          <w:lang w:val="fr-BE"/>
        </w:rPr>
      </w:pPr>
      <w:r w:rsidRPr="00054B36">
        <w:rPr>
          <w:rFonts w:ascii="Bookman Old Style" w:eastAsia="Calibri" w:hAnsi="Bookman Old Style" w:cs="Times New Roman"/>
          <w:lang w:val="fr-BE"/>
        </w:rPr>
        <w:t>Responsabilité « contractuelle »</w:t>
      </w:r>
    </w:p>
    <w:p w:rsidR="00856739" w:rsidRPr="00054B36" w:rsidRDefault="00856739" w:rsidP="00856739">
      <w:pPr>
        <w:spacing w:after="0" w:line="240" w:lineRule="auto"/>
        <w:ind w:left="720"/>
        <w:rPr>
          <w:rFonts w:ascii="Bookman Old Style" w:eastAsia="Calibri" w:hAnsi="Bookman Old Style" w:cs="Times New Roman"/>
          <w:lang w:val="fr-BE"/>
        </w:rPr>
      </w:pPr>
    </w:p>
    <w:p w:rsidR="00856739" w:rsidRPr="00054B36" w:rsidRDefault="00856739" w:rsidP="00856739">
      <w:pPr>
        <w:spacing w:after="0" w:line="240" w:lineRule="auto"/>
        <w:ind w:left="720"/>
        <w:rPr>
          <w:rFonts w:ascii="Bookman Old Style" w:eastAsia="Calibri" w:hAnsi="Bookman Old Style" w:cs="Times New Roman"/>
          <w:lang w:val="fr-BE"/>
        </w:rPr>
      </w:pPr>
      <w:r w:rsidRPr="00054B36">
        <w:rPr>
          <w:rFonts w:ascii="Bookman Old Style" w:eastAsia="Calibri" w:hAnsi="Bookman Old Style" w:cs="Times New Roman"/>
          <w:lang w:val="fr-BE"/>
        </w:rPr>
        <w:t>2) —  L’effet relatif</w:t>
      </w:r>
    </w:p>
    <w:p w:rsidR="00856739" w:rsidRPr="00054B36" w:rsidRDefault="00856739" w:rsidP="00856739">
      <w:pPr>
        <w:numPr>
          <w:ilvl w:val="0"/>
          <w:numId w:val="20"/>
        </w:numPr>
        <w:spacing w:after="0" w:line="240" w:lineRule="auto"/>
        <w:rPr>
          <w:rFonts w:ascii="Bookman Old Style" w:eastAsia="Calibri" w:hAnsi="Bookman Old Style" w:cs="Times New Roman"/>
          <w:lang w:val="fr-BE"/>
        </w:rPr>
      </w:pPr>
      <w:r w:rsidRPr="00054B36">
        <w:rPr>
          <w:rFonts w:ascii="Bookman Old Style" w:eastAsia="Calibri" w:hAnsi="Bookman Old Style" w:cs="Times New Roman"/>
          <w:lang w:val="fr-BE"/>
        </w:rPr>
        <w:t xml:space="preserve">La stipulation pour autrui </w:t>
      </w:r>
    </w:p>
    <w:p w:rsidR="00856739" w:rsidRPr="00054B36" w:rsidRDefault="00856739" w:rsidP="00856739">
      <w:pPr>
        <w:numPr>
          <w:ilvl w:val="0"/>
          <w:numId w:val="20"/>
        </w:numPr>
        <w:spacing w:after="0" w:line="240" w:lineRule="auto"/>
        <w:rPr>
          <w:rFonts w:ascii="Bookman Old Style" w:eastAsia="Calibri" w:hAnsi="Bookman Old Style" w:cs="Times New Roman"/>
          <w:lang w:val="fr-BE"/>
        </w:rPr>
      </w:pPr>
      <w:r w:rsidRPr="00054B36">
        <w:rPr>
          <w:rFonts w:ascii="Bookman Old Style" w:eastAsia="Calibri" w:hAnsi="Bookman Old Style" w:cs="Times New Roman"/>
          <w:lang w:val="fr-BE"/>
        </w:rPr>
        <w:t>Les actions triangulaires</w:t>
      </w:r>
    </w:p>
    <w:p w:rsidR="00856739" w:rsidRPr="00054B36" w:rsidRDefault="00856739" w:rsidP="00856739">
      <w:pPr>
        <w:spacing w:after="0" w:line="240" w:lineRule="auto"/>
        <w:rPr>
          <w:rFonts w:ascii="Bookman Old Style" w:eastAsia="Calibri" w:hAnsi="Bookman Old Style" w:cs="Times New Roman"/>
          <w:lang w:val="fr-BE"/>
        </w:rPr>
      </w:pPr>
    </w:p>
    <w:p w:rsidR="00856739" w:rsidRPr="00054B36" w:rsidRDefault="00856739" w:rsidP="00856739">
      <w:pPr>
        <w:spacing w:after="0" w:line="240" w:lineRule="auto"/>
        <w:rPr>
          <w:rFonts w:ascii="Bookman Old Style" w:eastAsia="Calibri" w:hAnsi="Bookman Old Style" w:cs="Times New Roman"/>
          <w:lang w:val="fr-BE"/>
        </w:rPr>
      </w:pPr>
    </w:p>
    <w:p w:rsidR="00856739" w:rsidRPr="00054B36" w:rsidRDefault="00856739" w:rsidP="00856739">
      <w:pPr>
        <w:spacing w:after="0" w:line="240" w:lineRule="auto"/>
        <w:jc w:val="center"/>
        <w:rPr>
          <w:rFonts w:ascii="Bookman Old Style" w:eastAsia="Calibri" w:hAnsi="Bookman Old Style" w:cs="Times New Roman"/>
          <w:b/>
          <w:caps/>
          <w:lang w:val="fr-BE"/>
        </w:rPr>
      </w:pPr>
      <w:r w:rsidRPr="00054B36">
        <w:rPr>
          <w:rFonts w:ascii="Bookman Old Style" w:eastAsia="Calibri" w:hAnsi="Bookman Old Style" w:cs="Times New Roman"/>
          <w:b/>
          <w:caps/>
          <w:lang w:val="fr-BE"/>
        </w:rPr>
        <w:t xml:space="preserve">—  II —  </w:t>
      </w:r>
    </w:p>
    <w:p w:rsidR="00856739" w:rsidRPr="00054B36" w:rsidRDefault="00856739" w:rsidP="00856739">
      <w:pPr>
        <w:spacing w:after="0" w:line="240" w:lineRule="auto"/>
        <w:jc w:val="center"/>
        <w:rPr>
          <w:rFonts w:ascii="Bookman Old Style" w:eastAsia="Calibri" w:hAnsi="Bookman Old Style" w:cs="Times New Roman"/>
          <w:b/>
          <w:caps/>
          <w:lang w:val="fr-BE"/>
        </w:rPr>
      </w:pPr>
      <w:r w:rsidRPr="00054B36">
        <w:rPr>
          <w:rFonts w:ascii="Bookman Old Style" w:eastAsia="Calibri" w:hAnsi="Bookman Old Style" w:cs="Times New Roman"/>
          <w:b/>
          <w:caps/>
          <w:lang w:val="fr-BE"/>
        </w:rPr>
        <w:t>Le droit des contrats et de la consommation de l’Union européenne</w:t>
      </w:r>
    </w:p>
    <w:p w:rsidR="00856739" w:rsidRPr="00054B36" w:rsidRDefault="00856739" w:rsidP="00856739">
      <w:pPr>
        <w:spacing w:after="0" w:line="240" w:lineRule="auto"/>
        <w:rPr>
          <w:rFonts w:ascii="Bookman Old Style" w:eastAsia="Calibri" w:hAnsi="Bookman Old Style" w:cs="Times New Roman"/>
          <w:lang w:val="fr-BE"/>
        </w:rPr>
      </w:pPr>
    </w:p>
    <w:p w:rsidR="00856739" w:rsidRPr="00054B36" w:rsidRDefault="00856739" w:rsidP="00856739">
      <w:pPr>
        <w:spacing w:after="0" w:line="240" w:lineRule="auto"/>
        <w:rPr>
          <w:rFonts w:ascii="Bookman Old Style" w:eastAsia="Calibri" w:hAnsi="Bookman Old Style" w:cs="Times New Roman"/>
          <w:lang w:val="fr-BE"/>
        </w:rPr>
      </w:pPr>
    </w:p>
    <w:p w:rsidR="00856739" w:rsidRPr="00054B36" w:rsidRDefault="00856739" w:rsidP="00856739">
      <w:pPr>
        <w:spacing w:after="0" w:line="240" w:lineRule="auto"/>
        <w:jc w:val="center"/>
        <w:rPr>
          <w:rFonts w:ascii="Bookman Old Style" w:eastAsia="Calibri" w:hAnsi="Bookman Old Style" w:cs="Times New Roman"/>
          <w:lang w:val="fr-BE"/>
        </w:rPr>
      </w:pPr>
      <w:r w:rsidRPr="00054B36">
        <w:rPr>
          <w:rFonts w:ascii="Bookman Old Style" w:eastAsia="Calibri" w:hAnsi="Bookman Old Style" w:cs="Times New Roman"/>
          <w:lang w:val="fr-BE"/>
        </w:rPr>
        <w:t xml:space="preserve">—  A —  </w:t>
      </w:r>
    </w:p>
    <w:p w:rsidR="00856739" w:rsidRPr="00054B36" w:rsidRDefault="00856739" w:rsidP="00856739">
      <w:pPr>
        <w:spacing w:after="0" w:line="240" w:lineRule="auto"/>
        <w:jc w:val="center"/>
        <w:rPr>
          <w:rFonts w:ascii="Bookman Old Style" w:eastAsia="Calibri" w:hAnsi="Bookman Old Style" w:cs="Times New Roman"/>
          <w:lang w:val="fr-BE"/>
        </w:rPr>
      </w:pPr>
      <w:r w:rsidRPr="00054B36">
        <w:rPr>
          <w:rFonts w:ascii="Bookman Old Style" w:eastAsia="Calibri" w:hAnsi="Bookman Old Style" w:cs="Times New Roman"/>
          <w:lang w:val="fr-BE"/>
        </w:rPr>
        <w:t xml:space="preserve">LE DROIT DE LA CONSOMMATION </w:t>
      </w:r>
    </w:p>
    <w:p w:rsidR="00856739" w:rsidRPr="00054B36" w:rsidRDefault="00856739" w:rsidP="00856739">
      <w:pPr>
        <w:spacing w:after="0" w:line="240" w:lineRule="auto"/>
        <w:jc w:val="center"/>
        <w:rPr>
          <w:rFonts w:ascii="Bookman Old Style" w:eastAsia="Calibri" w:hAnsi="Bookman Old Style" w:cs="Times New Roman"/>
          <w:lang w:val="fr-BE"/>
        </w:rPr>
      </w:pPr>
    </w:p>
    <w:p w:rsidR="00856739" w:rsidRPr="00054B36" w:rsidRDefault="00856739" w:rsidP="00856739">
      <w:pPr>
        <w:spacing w:after="0" w:line="240" w:lineRule="auto"/>
        <w:ind w:left="720"/>
        <w:rPr>
          <w:rFonts w:ascii="Bookman Old Style" w:eastAsia="Calibri" w:hAnsi="Bookman Old Style" w:cs="Times New Roman"/>
          <w:lang w:val="fr-BE"/>
        </w:rPr>
      </w:pPr>
      <w:r w:rsidRPr="00054B36">
        <w:rPr>
          <w:rFonts w:ascii="Bookman Old Style" w:eastAsia="Calibri" w:hAnsi="Bookman Old Style" w:cs="Times New Roman"/>
          <w:lang w:val="fr-BE"/>
        </w:rPr>
        <w:t>1) —  La liberté contractuelle</w:t>
      </w:r>
    </w:p>
    <w:p w:rsidR="00856739" w:rsidRPr="00054B36" w:rsidRDefault="00856739" w:rsidP="00856739">
      <w:pPr>
        <w:numPr>
          <w:ilvl w:val="0"/>
          <w:numId w:val="20"/>
        </w:numPr>
        <w:spacing w:after="0" w:line="240" w:lineRule="auto"/>
        <w:rPr>
          <w:rFonts w:ascii="Bookman Old Style" w:eastAsia="Calibri" w:hAnsi="Bookman Old Style" w:cs="Times New Roman"/>
          <w:lang w:val="fr-BE"/>
        </w:rPr>
      </w:pPr>
      <w:r w:rsidRPr="00054B36">
        <w:rPr>
          <w:rFonts w:ascii="Bookman Old Style" w:eastAsia="Calibri" w:hAnsi="Bookman Old Style" w:cs="Times New Roman"/>
          <w:lang w:val="fr-BE"/>
        </w:rPr>
        <w:t xml:space="preserve">L’obligation d’information </w:t>
      </w:r>
    </w:p>
    <w:p w:rsidR="00856739" w:rsidRPr="00054B36" w:rsidRDefault="00856739" w:rsidP="00856739">
      <w:pPr>
        <w:numPr>
          <w:ilvl w:val="0"/>
          <w:numId w:val="20"/>
        </w:numPr>
        <w:spacing w:after="0" w:line="240" w:lineRule="auto"/>
        <w:rPr>
          <w:rFonts w:ascii="Bookman Old Style" w:eastAsia="Calibri" w:hAnsi="Bookman Old Style" w:cs="Times New Roman"/>
          <w:lang w:val="fr-BE"/>
        </w:rPr>
      </w:pPr>
      <w:r w:rsidRPr="00054B36">
        <w:rPr>
          <w:rFonts w:ascii="Bookman Old Style" w:eastAsia="Calibri" w:hAnsi="Bookman Old Style" w:cs="Times New Roman"/>
          <w:lang w:val="fr-BE"/>
        </w:rPr>
        <w:t>Le droit de rétractation</w:t>
      </w:r>
    </w:p>
    <w:p w:rsidR="00856739" w:rsidRPr="00054B36" w:rsidRDefault="00856739" w:rsidP="00856739">
      <w:pPr>
        <w:pStyle w:val="Corpssansn"/>
        <w:ind w:firstLine="0"/>
        <w:rPr>
          <w:rFonts w:ascii="Bookman Old Style" w:hAnsi="Bookman Old Style"/>
          <w:sz w:val="22"/>
          <w:szCs w:val="22"/>
        </w:rPr>
      </w:pPr>
    </w:p>
    <w:p w:rsidR="00856739" w:rsidRPr="00054B36" w:rsidRDefault="00856739" w:rsidP="00856739">
      <w:pPr>
        <w:spacing w:after="0" w:line="240" w:lineRule="auto"/>
        <w:ind w:left="720"/>
        <w:rPr>
          <w:rFonts w:ascii="Bookman Old Style" w:eastAsia="Calibri" w:hAnsi="Bookman Old Style" w:cs="Times New Roman"/>
          <w:lang w:val="fr-BE"/>
        </w:rPr>
      </w:pPr>
      <w:r w:rsidRPr="00054B36">
        <w:rPr>
          <w:rFonts w:ascii="Bookman Old Style" w:eastAsia="Calibri" w:hAnsi="Bookman Old Style" w:cs="Times New Roman"/>
          <w:lang w:val="fr-BE"/>
        </w:rPr>
        <w:t>2) —  La loyauté contractuelle</w:t>
      </w:r>
    </w:p>
    <w:p w:rsidR="00856739" w:rsidRPr="00054B36" w:rsidRDefault="00856739" w:rsidP="00856739">
      <w:pPr>
        <w:numPr>
          <w:ilvl w:val="0"/>
          <w:numId w:val="20"/>
        </w:numPr>
        <w:spacing w:after="0" w:line="240" w:lineRule="auto"/>
        <w:rPr>
          <w:rFonts w:ascii="Bookman Old Style" w:eastAsia="Calibri" w:hAnsi="Bookman Old Style" w:cs="Times New Roman"/>
          <w:lang w:val="fr-BE"/>
        </w:rPr>
      </w:pPr>
      <w:r w:rsidRPr="00054B36">
        <w:rPr>
          <w:rFonts w:ascii="Bookman Old Style" w:eastAsia="Calibri" w:hAnsi="Bookman Old Style" w:cs="Times New Roman"/>
          <w:lang w:val="fr-BE"/>
        </w:rPr>
        <w:lastRenderedPageBreak/>
        <w:t>Les clauses abusives</w:t>
      </w:r>
    </w:p>
    <w:p w:rsidR="00856739" w:rsidRPr="00054B36" w:rsidRDefault="00856739" w:rsidP="00856739">
      <w:pPr>
        <w:numPr>
          <w:ilvl w:val="0"/>
          <w:numId w:val="20"/>
        </w:numPr>
        <w:spacing w:after="0" w:line="240" w:lineRule="auto"/>
        <w:rPr>
          <w:rFonts w:ascii="Bookman Old Style" w:eastAsia="Calibri" w:hAnsi="Bookman Old Style" w:cs="Times New Roman"/>
          <w:lang w:val="fr-BE"/>
        </w:rPr>
      </w:pPr>
      <w:r w:rsidRPr="00054B36">
        <w:rPr>
          <w:rFonts w:ascii="Bookman Old Style" w:eastAsia="Calibri" w:hAnsi="Bookman Old Style" w:cs="Times New Roman"/>
          <w:lang w:val="fr-BE"/>
        </w:rPr>
        <w:t>Les pratiques déloyales</w:t>
      </w:r>
    </w:p>
    <w:p w:rsidR="00856739" w:rsidRPr="00054B36" w:rsidRDefault="00856739" w:rsidP="00856739">
      <w:pPr>
        <w:pStyle w:val="Corpssansn"/>
        <w:rPr>
          <w:rFonts w:ascii="Bookman Old Style" w:hAnsi="Bookman Old Style"/>
          <w:sz w:val="22"/>
          <w:szCs w:val="22"/>
        </w:rPr>
      </w:pPr>
    </w:p>
    <w:p w:rsidR="00856739" w:rsidRPr="00054B36" w:rsidRDefault="00856739" w:rsidP="00856739">
      <w:pPr>
        <w:spacing w:after="0" w:line="240" w:lineRule="auto"/>
        <w:jc w:val="center"/>
        <w:rPr>
          <w:rFonts w:ascii="Bookman Old Style" w:eastAsia="Calibri" w:hAnsi="Bookman Old Style" w:cs="Times New Roman"/>
          <w:lang w:val="fr-BE"/>
        </w:rPr>
      </w:pPr>
      <w:r w:rsidRPr="00054B36">
        <w:rPr>
          <w:rFonts w:ascii="Bookman Old Style" w:eastAsia="Calibri" w:hAnsi="Bookman Old Style" w:cs="Times New Roman"/>
          <w:lang w:val="fr-BE"/>
        </w:rPr>
        <w:t xml:space="preserve">—  B —  </w:t>
      </w:r>
    </w:p>
    <w:p w:rsidR="00856739" w:rsidRPr="00054B36" w:rsidRDefault="00856739" w:rsidP="00856739">
      <w:pPr>
        <w:spacing w:after="0" w:line="240" w:lineRule="auto"/>
        <w:jc w:val="center"/>
        <w:rPr>
          <w:rFonts w:ascii="Bookman Old Style" w:eastAsia="Calibri" w:hAnsi="Bookman Old Style" w:cs="Times New Roman"/>
          <w:lang w:val="fr-BE"/>
        </w:rPr>
      </w:pPr>
      <w:r w:rsidRPr="00054B36">
        <w:rPr>
          <w:rFonts w:ascii="Bookman Old Style" w:eastAsia="Calibri" w:hAnsi="Bookman Old Style" w:cs="Times New Roman"/>
          <w:lang w:val="fr-BE"/>
        </w:rPr>
        <w:t>LE DROIT DES CONTRATS</w:t>
      </w:r>
    </w:p>
    <w:p w:rsidR="00856739" w:rsidRPr="00054B36" w:rsidRDefault="00856739" w:rsidP="00856739">
      <w:pPr>
        <w:spacing w:after="0" w:line="240" w:lineRule="auto"/>
        <w:jc w:val="center"/>
        <w:rPr>
          <w:rFonts w:ascii="Bookman Old Style" w:eastAsia="Calibri" w:hAnsi="Bookman Old Style" w:cs="Times New Roman"/>
          <w:lang w:val="fr-BE"/>
        </w:rPr>
      </w:pPr>
    </w:p>
    <w:p w:rsidR="00856739" w:rsidRPr="00054B36" w:rsidRDefault="00856739" w:rsidP="00856739">
      <w:pPr>
        <w:spacing w:after="0" w:line="240" w:lineRule="auto"/>
        <w:ind w:left="720"/>
        <w:rPr>
          <w:rFonts w:ascii="Bookman Old Style" w:eastAsia="Calibri" w:hAnsi="Bookman Old Style" w:cs="Times New Roman"/>
          <w:lang w:val="fr-BE"/>
        </w:rPr>
      </w:pPr>
      <w:r w:rsidRPr="00054B36">
        <w:rPr>
          <w:rFonts w:ascii="Bookman Old Style" w:eastAsia="Calibri" w:hAnsi="Bookman Old Style" w:cs="Times New Roman"/>
          <w:lang w:val="fr-BE"/>
        </w:rPr>
        <w:t>1) —  Les ambitions initiales</w:t>
      </w:r>
    </w:p>
    <w:p w:rsidR="00856739" w:rsidRPr="00054B36" w:rsidRDefault="00856739" w:rsidP="00856739">
      <w:pPr>
        <w:spacing w:after="0" w:line="240" w:lineRule="auto"/>
        <w:ind w:left="720"/>
        <w:rPr>
          <w:rFonts w:ascii="Bookman Old Style" w:eastAsia="Calibri" w:hAnsi="Bookman Old Style" w:cs="Times New Roman"/>
          <w:lang w:val="fr-BE"/>
        </w:rPr>
      </w:pPr>
      <w:r w:rsidRPr="00054B36">
        <w:rPr>
          <w:rFonts w:ascii="Bookman Old Style" w:eastAsia="Calibri" w:hAnsi="Bookman Old Style" w:cs="Times New Roman"/>
          <w:lang w:val="fr-BE"/>
        </w:rPr>
        <w:t>2) —  L’état des lieux</w:t>
      </w:r>
    </w:p>
    <w:p w:rsidR="00020403" w:rsidRDefault="00020403" w:rsidP="00856739">
      <w:pPr>
        <w:spacing w:after="0" w:line="240" w:lineRule="auto"/>
        <w:ind w:left="720"/>
        <w:rPr>
          <w:rFonts w:ascii="Bookman Old Style" w:eastAsia="Calibri" w:hAnsi="Bookman Old Style" w:cs="Times New Roman"/>
          <w:lang w:val="fr-BE"/>
        </w:rPr>
      </w:pPr>
    </w:p>
    <w:p w:rsidR="00020403" w:rsidRDefault="00020403" w:rsidP="00856739">
      <w:pPr>
        <w:spacing w:after="0" w:line="240" w:lineRule="auto"/>
        <w:ind w:left="720"/>
        <w:rPr>
          <w:rFonts w:ascii="Bookman Old Style" w:eastAsia="Calibri" w:hAnsi="Bookman Old Style" w:cs="Times New Roman"/>
          <w:lang w:val="fr-BE"/>
        </w:rPr>
      </w:pPr>
    </w:p>
    <w:p w:rsidR="00020403" w:rsidRPr="00054B36" w:rsidRDefault="00020403" w:rsidP="00020403">
      <w:pPr>
        <w:spacing w:after="0" w:line="240" w:lineRule="auto"/>
        <w:rPr>
          <w:rFonts w:ascii="Bookman Old Style" w:eastAsia="Calibri" w:hAnsi="Bookman Old Style" w:cs="Times New Roman"/>
          <w:lang w:val="fr-BE"/>
        </w:rPr>
      </w:pPr>
      <w:r w:rsidRPr="00AE4E48">
        <w:rPr>
          <w:rFonts w:ascii="Bookman Old Style" w:hAnsi="Bookman Old Style"/>
          <w:b/>
        </w:rPr>
        <w:t>Contrôle des connaissances : examen écrit.</w:t>
      </w:r>
    </w:p>
    <w:p w:rsidR="00856739" w:rsidRPr="00054B36" w:rsidRDefault="00856739" w:rsidP="00856739">
      <w:pPr>
        <w:spacing w:after="0" w:line="240" w:lineRule="auto"/>
        <w:ind w:left="720"/>
        <w:rPr>
          <w:rFonts w:ascii="Bookman Old Style" w:eastAsia="Calibri" w:hAnsi="Bookman Old Style" w:cs="Times New Roman"/>
          <w:lang w:val="fr-BE"/>
        </w:rPr>
      </w:pPr>
    </w:p>
    <w:p w:rsidR="00856739" w:rsidRPr="00054B36" w:rsidRDefault="00856739" w:rsidP="00856739">
      <w:pPr>
        <w:spacing w:after="0" w:line="240" w:lineRule="auto"/>
        <w:ind w:left="720"/>
        <w:rPr>
          <w:rFonts w:ascii="Bookman Old Style" w:eastAsia="Calibri" w:hAnsi="Bookman Old Style" w:cs="Times New Roman"/>
          <w:lang w:val="fr-BE"/>
        </w:rPr>
      </w:pPr>
    </w:p>
    <w:p w:rsidR="00856739" w:rsidRPr="00054B36" w:rsidRDefault="00856739" w:rsidP="00856739">
      <w:pPr>
        <w:spacing w:after="0" w:line="240" w:lineRule="auto"/>
        <w:rPr>
          <w:rFonts w:ascii="Bookman Old Style" w:eastAsia="Calibri" w:hAnsi="Bookman Old Style" w:cs="Times New Roman"/>
          <w:lang w:val="fr-BE"/>
        </w:rPr>
      </w:pPr>
    </w:p>
    <w:p w:rsidR="00E149EB" w:rsidRDefault="00E149EB">
      <w:r>
        <w:br w:type="page"/>
      </w:r>
    </w:p>
    <w:p w:rsidR="00E149EB" w:rsidRPr="00D92A8F" w:rsidRDefault="00E149EB" w:rsidP="00E149EB">
      <w:pPr>
        <w:pStyle w:val="Sous-titre"/>
        <w:jc w:val="center"/>
        <w:rPr>
          <w:rFonts w:ascii="Bookman Old Style" w:hAnsi="Bookman Old Style"/>
          <w:b/>
          <w:sz w:val="22"/>
          <w:szCs w:val="22"/>
        </w:rPr>
      </w:pPr>
      <w:r w:rsidRPr="00D92A8F">
        <w:rPr>
          <w:rFonts w:ascii="Bookman Old Style" w:hAnsi="Bookman Old Style"/>
          <w:b/>
          <w:sz w:val="22"/>
          <w:szCs w:val="22"/>
        </w:rPr>
        <w:lastRenderedPageBreak/>
        <w:t>Économie des partenariats public/privé</w:t>
      </w:r>
    </w:p>
    <w:p w:rsidR="00E149EB" w:rsidRPr="008719FC" w:rsidRDefault="00E149EB" w:rsidP="00E149EB">
      <w:pPr>
        <w:pStyle w:val="Corps"/>
        <w:jc w:val="center"/>
        <w:rPr>
          <w:rFonts w:ascii="Bookman Old Style" w:hAnsi="Bookman Old Style"/>
        </w:rPr>
      </w:pPr>
      <w:r w:rsidRPr="008719FC">
        <w:rPr>
          <w:rFonts w:ascii="Bookman Old Style" w:hAnsi="Bookman Old Style"/>
        </w:rPr>
        <w:br/>
      </w:r>
      <w:r w:rsidR="00D92A8F">
        <w:rPr>
          <w:rFonts w:ascii="Bookman Old Style" w:hAnsi="Bookman Old Style"/>
          <w:b/>
          <w:bCs/>
        </w:rPr>
        <w:t>M</w:t>
      </w:r>
      <w:r w:rsidR="00187D6F">
        <w:rPr>
          <w:rFonts w:ascii="Bookman Old Style" w:hAnsi="Bookman Old Style"/>
          <w:b/>
          <w:bCs/>
        </w:rPr>
        <w:t xml:space="preserve"> Melcarne</w:t>
      </w:r>
    </w:p>
    <w:p w:rsidR="00E149EB" w:rsidRPr="008719FC" w:rsidRDefault="00E149EB" w:rsidP="00E149EB">
      <w:pPr>
        <w:pStyle w:val="Corps"/>
        <w:rPr>
          <w:rFonts w:ascii="Bookman Old Style" w:hAnsi="Bookman Old Style"/>
        </w:rPr>
      </w:pPr>
    </w:p>
    <w:p w:rsidR="00E149EB" w:rsidRPr="008719FC" w:rsidRDefault="00E149EB" w:rsidP="00E149EB">
      <w:pPr>
        <w:pStyle w:val="Corps"/>
        <w:rPr>
          <w:rFonts w:ascii="Bookman Old Style" w:hAnsi="Bookman Old Style"/>
        </w:rPr>
      </w:pPr>
    </w:p>
    <w:p w:rsidR="00E149EB" w:rsidRPr="008719FC" w:rsidRDefault="00E149EB" w:rsidP="00E149EB">
      <w:pPr>
        <w:pStyle w:val="Corps"/>
        <w:rPr>
          <w:rFonts w:ascii="Bookman Old Style" w:hAnsi="Bookman Old Style"/>
        </w:rPr>
      </w:pPr>
    </w:p>
    <w:p w:rsidR="00E149EB" w:rsidRPr="008719FC" w:rsidRDefault="00E149EB" w:rsidP="00E149EB">
      <w:pPr>
        <w:pStyle w:val="Corps"/>
        <w:rPr>
          <w:rFonts w:ascii="Bookman Old Style" w:hAnsi="Bookman Old Style"/>
          <w:b/>
          <w:bCs/>
        </w:rPr>
      </w:pPr>
      <w:r w:rsidRPr="008719FC">
        <w:rPr>
          <w:rFonts w:ascii="Bookman Old Style" w:hAnsi="Bookman Old Style"/>
          <w:b/>
          <w:bCs/>
        </w:rPr>
        <w:t>I/ Objectifs du cours</w:t>
      </w:r>
    </w:p>
    <w:p w:rsidR="00E149EB" w:rsidRPr="008719FC" w:rsidRDefault="00E149EB" w:rsidP="00E149EB">
      <w:pPr>
        <w:pStyle w:val="Corps"/>
        <w:rPr>
          <w:rFonts w:ascii="Bookman Old Style" w:hAnsi="Bookman Old Style"/>
        </w:rPr>
      </w:pPr>
    </w:p>
    <w:p w:rsidR="00E149EB" w:rsidRPr="008719FC" w:rsidRDefault="00E149EB" w:rsidP="00E149EB">
      <w:pPr>
        <w:pStyle w:val="Corps"/>
        <w:rPr>
          <w:rFonts w:ascii="Bookman Old Style" w:hAnsi="Bookman Old Style"/>
        </w:rPr>
      </w:pPr>
      <w:r w:rsidRPr="008719FC">
        <w:rPr>
          <w:rFonts w:ascii="Bookman Old Style" w:hAnsi="Bookman Old Style"/>
        </w:rPr>
        <w:t>Les contrats de partenariat sont définis en France comme étant « une coopération entre les autorités publiques et le monde des entreprises qui vise à assurer le financement, la construction, la rénovation, la gestion ou l’entretien d’une infrastructure ou la fourniture d’un service » (Livre vert de la Commission européenne, 2004).</w:t>
      </w:r>
    </w:p>
    <w:p w:rsidR="00E149EB" w:rsidRPr="008719FC" w:rsidRDefault="00E149EB" w:rsidP="00E149EB">
      <w:pPr>
        <w:pStyle w:val="Corps"/>
        <w:rPr>
          <w:rFonts w:ascii="Bookman Old Style" w:hAnsi="Bookman Old Style"/>
        </w:rPr>
      </w:pPr>
    </w:p>
    <w:p w:rsidR="00E149EB" w:rsidRPr="008719FC" w:rsidRDefault="00E149EB" w:rsidP="00E149EB">
      <w:pPr>
        <w:pStyle w:val="Corps"/>
        <w:rPr>
          <w:rFonts w:ascii="Bookman Old Style" w:hAnsi="Bookman Old Style"/>
        </w:rPr>
      </w:pPr>
      <w:r w:rsidRPr="008719FC">
        <w:rPr>
          <w:rFonts w:ascii="Bookman Old Style" w:hAnsi="Bookman Old Style"/>
        </w:rPr>
        <w:t>Ce cours a pour objectif de présenter les avantages et inconvénients des contrats de partenariats mis en avant dans la littérature économique récente, par rapport aux solutions plus traditionnelles que sont les marchés publics et les délégations de service public (contrats de concession, affermage, régie intéressée, etc.). Nous nous intéresserons également aux avantages et inconvénients des contrats de partenariat par rapport aux solutions alternatives que sont la gestion en régie et la privatisation. Dans cet objectif de comparaison, quatre grands thèmes seront abordés, chacun mettant en avant une spécificité propre aux contrats de partenariat.</w:t>
      </w:r>
    </w:p>
    <w:p w:rsidR="00E149EB" w:rsidRPr="008719FC" w:rsidRDefault="00E149EB" w:rsidP="00E149EB">
      <w:pPr>
        <w:pStyle w:val="Corps"/>
        <w:rPr>
          <w:rFonts w:ascii="Bookman Old Style" w:hAnsi="Bookman Old Style"/>
        </w:rPr>
      </w:pPr>
    </w:p>
    <w:p w:rsidR="00E149EB" w:rsidRPr="008719FC" w:rsidRDefault="00E149EB" w:rsidP="00E149EB">
      <w:pPr>
        <w:pStyle w:val="Corps"/>
        <w:rPr>
          <w:rFonts w:ascii="Bookman Old Style" w:hAnsi="Bookman Old Style"/>
          <w:b/>
          <w:bCs/>
        </w:rPr>
      </w:pPr>
      <w:r w:rsidRPr="008719FC">
        <w:rPr>
          <w:rFonts w:ascii="Bookman Old Style" w:hAnsi="Bookman Old Style"/>
          <w:b/>
          <w:bCs/>
        </w:rPr>
        <w:t>II/ Thèmes abordés</w:t>
      </w:r>
    </w:p>
    <w:p w:rsidR="00E149EB" w:rsidRPr="008719FC" w:rsidRDefault="00E149EB" w:rsidP="00E149EB">
      <w:pPr>
        <w:pStyle w:val="Corps"/>
        <w:rPr>
          <w:rFonts w:ascii="Bookman Old Style" w:hAnsi="Bookman Old Style"/>
        </w:rPr>
      </w:pPr>
    </w:p>
    <w:p w:rsidR="00E149EB" w:rsidRPr="008719FC" w:rsidRDefault="00E149EB" w:rsidP="00E149EB">
      <w:pPr>
        <w:pStyle w:val="Corps"/>
        <w:rPr>
          <w:rFonts w:ascii="Bookman Old Style" w:hAnsi="Bookman Old Style"/>
        </w:rPr>
      </w:pPr>
      <w:r w:rsidRPr="008719FC">
        <w:rPr>
          <w:rFonts w:ascii="Bookman Old Style" w:hAnsi="Bookman Old Style"/>
          <w:b/>
          <w:bCs/>
        </w:rPr>
        <w:t>Dans le premier thème</w:t>
      </w:r>
      <w:r w:rsidRPr="008719FC">
        <w:rPr>
          <w:rFonts w:ascii="Bookman Old Style" w:hAnsi="Bookman Old Style"/>
        </w:rPr>
        <w:t>, nous nous intéresserons, dans le cadre des partenariats public/privé, au regroupement des activités de conception et de construction des infrastructures et des activités d’exploitation associées à la fourniture du service. Traditionnellement, ces différentes activités font l’objet de contrats dissociés, passés avec différents partenaires privés. À l’inverse, les partenariats public/privé visent à regrouper ces activités, dont la réalisation est laissée à un consortium, avec lequel la personne publique partage une partie plus ou moins importante des risques opérationnels.</w:t>
      </w:r>
    </w:p>
    <w:p w:rsidR="00E149EB" w:rsidRPr="008719FC" w:rsidRDefault="00E149EB" w:rsidP="00E149EB">
      <w:pPr>
        <w:pStyle w:val="Corps"/>
        <w:rPr>
          <w:rFonts w:ascii="Bookman Old Style" w:hAnsi="Bookman Old Style"/>
        </w:rPr>
      </w:pPr>
    </w:p>
    <w:p w:rsidR="00E149EB" w:rsidRPr="008719FC" w:rsidRDefault="00E149EB" w:rsidP="00E149EB">
      <w:pPr>
        <w:pStyle w:val="Corps"/>
        <w:rPr>
          <w:rFonts w:ascii="Bookman Old Style" w:hAnsi="Bookman Old Style"/>
        </w:rPr>
      </w:pPr>
      <w:r w:rsidRPr="008719FC">
        <w:rPr>
          <w:rFonts w:ascii="Bookman Old Style" w:hAnsi="Bookman Old Style"/>
          <w:b/>
          <w:bCs/>
        </w:rPr>
        <w:t>Dans le deuxième thème</w:t>
      </w:r>
      <w:r w:rsidRPr="008719FC">
        <w:rPr>
          <w:rFonts w:ascii="Bookman Old Style" w:hAnsi="Bookman Old Style"/>
        </w:rPr>
        <w:t xml:space="preserve">, nous nous intéresserons au financement du projet de partenariat, qui peut reposer en grande partie sur le partenaire privé. En effet, le financement des contrats de </w:t>
      </w:r>
      <w:r w:rsidRPr="008719FC">
        <w:rPr>
          <w:rFonts w:ascii="Bookman Old Style" w:hAnsi="Bookman Old Style"/>
          <w:lang w:val="sv-SE"/>
        </w:rPr>
        <w:t>partenariat</w:t>
      </w:r>
      <w:r w:rsidRPr="008719FC">
        <w:rPr>
          <w:rFonts w:ascii="Bookman Old Style" w:hAnsi="Bookman Old Style"/>
        </w:rPr>
        <w:t xml:space="preserve"> peut bénéficier de l’expertise de prêteurs privés dans l’évaluation des risques et peut permettre de limiter (au moins à court terme) les coûts associés à l’utilisation des fonds publics. D’un autre côté, par rapport à un financement public, un financement privé implique une nouvelle relation contractuelle entre le partenaire privé et l’organisme de financement. De plus, ce type de financement peut être utilisé pour « cacher » les coûts des investissements associés au projet, ceux-ci n’étant supportés par la personne publique qu’au moment de la mise en service.</w:t>
      </w:r>
    </w:p>
    <w:p w:rsidR="00E149EB" w:rsidRPr="008719FC" w:rsidRDefault="00E149EB" w:rsidP="00E149EB">
      <w:pPr>
        <w:pStyle w:val="Corps"/>
        <w:rPr>
          <w:rFonts w:ascii="Bookman Old Style" w:hAnsi="Bookman Old Style"/>
        </w:rPr>
      </w:pPr>
    </w:p>
    <w:p w:rsidR="00E149EB" w:rsidRPr="008719FC" w:rsidRDefault="00E149EB" w:rsidP="00E149EB">
      <w:pPr>
        <w:pStyle w:val="Corps"/>
        <w:rPr>
          <w:rFonts w:ascii="Bookman Old Style" w:hAnsi="Bookman Old Style"/>
        </w:rPr>
      </w:pPr>
      <w:r w:rsidRPr="008719FC">
        <w:rPr>
          <w:rFonts w:ascii="Bookman Old Style" w:hAnsi="Bookman Old Style"/>
          <w:b/>
          <w:bCs/>
        </w:rPr>
        <w:t>Dans le troisième thème</w:t>
      </w:r>
      <w:r w:rsidRPr="008719FC">
        <w:rPr>
          <w:rFonts w:ascii="Bookman Old Style" w:hAnsi="Bookman Old Style"/>
        </w:rPr>
        <w:t xml:space="preserve">, nous nous intéresserons aux contrats de partenariat en tant que projet de long terme. La question principale qui sera traitée sera celle des déterminants de l’arbitrage qui est réalisé par le partenaire privé entre : </w:t>
      </w:r>
    </w:p>
    <w:p w:rsidR="00E149EB" w:rsidRPr="008719FC" w:rsidRDefault="00E149EB" w:rsidP="00E149EB">
      <w:pPr>
        <w:pStyle w:val="Corps"/>
        <w:rPr>
          <w:rFonts w:ascii="Bookman Old Style" w:hAnsi="Bookman Old Style"/>
        </w:rPr>
      </w:pPr>
      <w:r w:rsidRPr="008719FC">
        <w:rPr>
          <w:rFonts w:ascii="Bookman Old Style" w:hAnsi="Bookman Old Style"/>
        </w:rPr>
        <w:t>1) assurer une maintenance importante de l’infrastructure afin d’éviter de voir la valeur des actifs faisant l’objet du contrat de partenariat se déprécier.</w:t>
      </w:r>
    </w:p>
    <w:p w:rsidR="00E149EB" w:rsidRPr="008719FC" w:rsidRDefault="00E149EB" w:rsidP="00E149EB">
      <w:pPr>
        <w:pStyle w:val="Corps"/>
        <w:rPr>
          <w:rFonts w:ascii="Bookman Old Style" w:hAnsi="Bookman Old Style"/>
        </w:rPr>
      </w:pPr>
      <w:r w:rsidRPr="008719FC">
        <w:rPr>
          <w:rFonts w:ascii="Bookman Old Style" w:hAnsi="Bookman Old Style"/>
        </w:rPr>
        <w:t xml:space="preserve">2) choisir une stratégie de réduction des coûts à court terme risquant d’entraîner une diminution de la valeur des actifs à la fin du contrat. </w:t>
      </w:r>
    </w:p>
    <w:p w:rsidR="00E149EB" w:rsidRPr="008719FC" w:rsidRDefault="00E149EB" w:rsidP="00E149EB">
      <w:pPr>
        <w:pStyle w:val="Corps"/>
        <w:rPr>
          <w:rFonts w:ascii="Bookman Old Style" w:hAnsi="Bookman Old Style"/>
        </w:rPr>
      </w:pPr>
      <w:r w:rsidRPr="008719FC">
        <w:rPr>
          <w:rFonts w:ascii="Bookman Old Style" w:hAnsi="Bookman Old Style"/>
        </w:rPr>
        <w:lastRenderedPageBreak/>
        <w:t>Un autre aspect abordé dans ce thème sera la renégociation du contrat de partenariat. Ces renégociations sont courantes compte tenu de la durée importante des projets de partenariat. En effet, il arrive régulièrement que les partenaires privés pèchent par excès d’optimisme et sous-estiment l’importance de leurs coûts dans les budgets prévisionnels qu’ils établissent à l’occasion du contrat de partenariat. Le partenaire privé est alors amené à renégocier avec la personne publique pour la prise en compte de ces coûts imprévus.</w:t>
      </w:r>
    </w:p>
    <w:p w:rsidR="00E149EB" w:rsidRPr="008719FC" w:rsidRDefault="00E149EB" w:rsidP="00E149EB">
      <w:pPr>
        <w:pStyle w:val="Corps"/>
        <w:rPr>
          <w:rFonts w:ascii="Bookman Old Style" w:hAnsi="Bookman Old Style"/>
        </w:rPr>
      </w:pPr>
    </w:p>
    <w:p w:rsidR="00E149EB" w:rsidRDefault="00E149EB" w:rsidP="00E149EB">
      <w:pPr>
        <w:pStyle w:val="Corps"/>
        <w:rPr>
          <w:rFonts w:ascii="Bookman Old Style" w:hAnsi="Bookman Old Style"/>
        </w:rPr>
      </w:pPr>
      <w:r w:rsidRPr="008719FC">
        <w:rPr>
          <w:rFonts w:ascii="Bookman Old Style" w:hAnsi="Bookman Old Style"/>
          <w:b/>
          <w:bCs/>
        </w:rPr>
        <w:t>Dans le quatrième thème</w:t>
      </w:r>
      <w:r w:rsidRPr="008719FC">
        <w:rPr>
          <w:rFonts w:ascii="Bookman Old Style" w:hAnsi="Bookman Old Style"/>
        </w:rPr>
        <w:t>, nous nous intéresserons à un autre aspect de la renégociation des contrats de partenariat. Nous nous concentrerons cette fois-ci sur le rôle des institutions et sur le « risque politique » supporté par le partenaire privé. En effet, en créant de l’incertitude sur la rentabilité des investissements réalisés dans le cadre du partenariat, le « risque politique » peut peser lourd dans la décision d’une firme de s’engager ou non contractuellement avec la personne publique.</w:t>
      </w:r>
    </w:p>
    <w:p w:rsidR="00F5061F" w:rsidRPr="008719FC" w:rsidRDefault="00F5061F" w:rsidP="00E149EB">
      <w:pPr>
        <w:pStyle w:val="Corps"/>
        <w:rPr>
          <w:rFonts w:ascii="Bookman Old Style" w:hAnsi="Bookman Old Style"/>
        </w:rPr>
      </w:pPr>
    </w:p>
    <w:p w:rsidR="00E149EB" w:rsidRPr="008719FC" w:rsidRDefault="00E149EB" w:rsidP="00E149EB">
      <w:pPr>
        <w:pStyle w:val="Corps"/>
        <w:rPr>
          <w:rFonts w:ascii="Bookman Old Style" w:hAnsi="Bookman Old Style"/>
        </w:rPr>
      </w:pPr>
    </w:p>
    <w:p w:rsidR="00E149EB" w:rsidRPr="008719FC" w:rsidRDefault="00E149EB" w:rsidP="00E149EB">
      <w:pPr>
        <w:pStyle w:val="Corps"/>
        <w:rPr>
          <w:rFonts w:ascii="Bookman Old Style" w:hAnsi="Bookman Old Style"/>
          <w:b/>
          <w:bCs/>
        </w:rPr>
      </w:pPr>
      <w:r w:rsidRPr="008719FC">
        <w:rPr>
          <w:rFonts w:ascii="Bookman Old Style" w:hAnsi="Bookman Old Style"/>
          <w:b/>
          <w:bCs/>
        </w:rPr>
        <w:t>III/ Bibliographie indicative</w:t>
      </w:r>
    </w:p>
    <w:p w:rsidR="00E149EB" w:rsidRPr="008719FC" w:rsidRDefault="00E149EB" w:rsidP="00E149EB">
      <w:pPr>
        <w:pStyle w:val="Corps"/>
        <w:rPr>
          <w:rFonts w:ascii="Bookman Old Style" w:hAnsi="Bookman Old Style"/>
        </w:rPr>
      </w:pPr>
    </w:p>
    <w:p w:rsidR="00E149EB" w:rsidRPr="008719FC" w:rsidRDefault="00E149EB" w:rsidP="00E149EB">
      <w:pPr>
        <w:pStyle w:val="Corps"/>
        <w:numPr>
          <w:ilvl w:val="0"/>
          <w:numId w:val="18"/>
        </w:numPr>
        <w:rPr>
          <w:rFonts w:ascii="Bookman Old Style" w:eastAsia="Helvetica" w:hAnsi="Bookman Old Style" w:cs="Helvetica"/>
          <w:lang w:val="en-US"/>
        </w:rPr>
      </w:pPr>
      <w:r w:rsidRPr="008719FC">
        <w:rPr>
          <w:rFonts w:ascii="Bookman Old Style" w:hAnsi="Bookman Old Style"/>
          <w:lang w:val="en-US"/>
        </w:rPr>
        <w:t>Bennett, J. et E. Iossa (2006), « Building and Managing Facilities for Public Services », Journal of Public Economics, 90: 2143-2160.</w:t>
      </w:r>
    </w:p>
    <w:p w:rsidR="00E149EB" w:rsidRPr="008719FC" w:rsidRDefault="00E149EB" w:rsidP="00E149EB">
      <w:pPr>
        <w:pStyle w:val="Corps"/>
        <w:numPr>
          <w:ilvl w:val="0"/>
          <w:numId w:val="18"/>
        </w:numPr>
        <w:rPr>
          <w:rFonts w:ascii="Bookman Old Style" w:eastAsia="Helvetica" w:hAnsi="Bookman Old Style" w:cs="Helvetica"/>
        </w:rPr>
      </w:pPr>
      <w:r w:rsidRPr="008719FC">
        <w:rPr>
          <w:rFonts w:ascii="Bookman Old Style" w:hAnsi="Bookman Old Style"/>
        </w:rPr>
        <w:t>De Brux, J., Piron V. et Saussier S. (2011), « Une analyse économique des partenariats public-privé », Institut des la Gestion Déléguée.</w:t>
      </w:r>
    </w:p>
    <w:p w:rsidR="00E149EB" w:rsidRPr="008719FC" w:rsidRDefault="00E149EB" w:rsidP="00E149EB">
      <w:pPr>
        <w:pStyle w:val="Corps"/>
        <w:numPr>
          <w:ilvl w:val="0"/>
          <w:numId w:val="18"/>
        </w:numPr>
        <w:rPr>
          <w:rFonts w:ascii="Bookman Old Style" w:eastAsia="Helvetica" w:hAnsi="Bookman Old Style" w:cs="Helvetica"/>
          <w:lang w:val="en-US"/>
        </w:rPr>
      </w:pPr>
      <w:r w:rsidRPr="008719FC">
        <w:rPr>
          <w:rFonts w:ascii="Bookman Old Style" w:hAnsi="Bookman Old Style"/>
          <w:lang w:val="en-US"/>
        </w:rPr>
        <w:t xml:space="preserve">Dewatripont M. et P. </w:t>
      </w:r>
      <w:r w:rsidRPr="008719FC">
        <w:rPr>
          <w:rFonts w:ascii="Bookman Old Style" w:hAnsi="Bookman Old Style"/>
          <w:lang w:val="es-ES_tradnl"/>
        </w:rPr>
        <w:t>Legros (2005)</w:t>
      </w:r>
      <w:r w:rsidRPr="008719FC">
        <w:rPr>
          <w:rFonts w:ascii="Bookman Old Style" w:hAnsi="Bookman Old Style"/>
          <w:lang w:val="en-US"/>
        </w:rPr>
        <w:t>, « PPPs: Contract Design and R</w:t>
      </w:r>
      <w:r w:rsidRPr="008719FC">
        <w:rPr>
          <w:rFonts w:ascii="Bookman Old Style" w:hAnsi="Bookman Old Style"/>
          <w:lang w:val="da-DK"/>
        </w:rPr>
        <w:t xml:space="preserve">isk </w:t>
      </w:r>
      <w:r w:rsidRPr="008719FC">
        <w:rPr>
          <w:rFonts w:ascii="Bookman Old Style" w:hAnsi="Bookman Old Style"/>
          <w:lang w:val="en-US"/>
        </w:rPr>
        <w:t>Transfer », European Investment Bank Papers.</w:t>
      </w:r>
    </w:p>
    <w:p w:rsidR="00E149EB" w:rsidRPr="008719FC" w:rsidRDefault="00E149EB" w:rsidP="00E149EB">
      <w:pPr>
        <w:pStyle w:val="Corps"/>
        <w:numPr>
          <w:ilvl w:val="0"/>
          <w:numId w:val="18"/>
        </w:numPr>
        <w:rPr>
          <w:rFonts w:ascii="Bookman Old Style" w:eastAsia="Helvetica" w:hAnsi="Bookman Old Style" w:cs="Helvetica"/>
          <w:lang w:val="en-US"/>
        </w:rPr>
      </w:pPr>
      <w:r w:rsidRPr="008719FC">
        <w:rPr>
          <w:rFonts w:ascii="Bookman Old Style" w:hAnsi="Bookman Old Style"/>
          <w:lang w:val="en-US"/>
        </w:rPr>
        <w:t xml:space="preserve">De Bettignies, J. E. et T. Ross (2009), « Public Private Partnerships and the Privatization of Financing: An incomplete Contracts Approach », International Journal of Industrial Organization, 27: 358-368. </w:t>
      </w:r>
    </w:p>
    <w:p w:rsidR="00E149EB" w:rsidRPr="008719FC" w:rsidRDefault="00E149EB" w:rsidP="00E149EB">
      <w:pPr>
        <w:pStyle w:val="Corps"/>
        <w:numPr>
          <w:ilvl w:val="0"/>
          <w:numId w:val="18"/>
        </w:numPr>
        <w:rPr>
          <w:rFonts w:ascii="Bookman Old Style" w:eastAsia="Helvetica" w:hAnsi="Bookman Old Style" w:cs="Helvetica"/>
          <w:lang w:val="en-US"/>
        </w:rPr>
      </w:pPr>
      <w:r w:rsidRPr="008719FC">
        <w:rPr>
          <w:rFonts w:ascii="Bookman Old Style" w:hAnsi="Bookman Old Style"/>
          <w:lang w:val="en-US"/>
        </w:rPr>
        <w:t>Engel, E., R. Fischer et A. Galetovic (2007), « The Basic Public Finance of Public-Private-Partnerships », Mimeo, Departement of Economics, Yale University.</w:t>
      </w:r>
    </w:p>
    <w:p w:rsidR="00E149EB" w:rsidRPr="008719FC" w:rsidRDefault="00E149EB" w:rsidP="00E149EB">
      <w:pPr>
        <w:pStyle w:val="Corps"/>
        <w:numPr>
          <w:ilvl w:val="0"/>
          <w:numId w:val="18"/>
        </w:numPr>
        <w:rPr>
          <w:rFonts w:ascii="Bookman Old Style" w:eastAsia="Helvetica" w:hAnsi="Bookman Old Style" w:cs="Helvetica"/>
          <w:lang w:val="en-US"/>
        </w:rPr>
      </w:pPr>
      <w:r w:rsidRPr="008719FC">
        <w:rPr>
          <w:rFonts w:ascii="Bookman Old Style" w:hAnsi="Bookman Old Style"/>
          <w:lang w:val="en-US"/>
        </w:rPr>
        <w:t>Greco (2013) « Imperfect Bundling in Public-Private Partnerships », Journal of Public Economic Theory, forthcoming.</w:t>
      </w:r>
    </w:p>
    <w:p w:rsidR="00E149EB" w:rsidRPr="008719FC" w:rsidRDefault="00E149EB" w:rsidP="00E149EB">
      <w:pPr>
        <w:pStyle w:val="Corps"/>
        <w:numPr>
          <w:ilvl w:val="0"/>
          <w:numId w:val="18"/>
        </w:numPr>
        <w:rPr>
          <w:rFonts w:ascii="Bookman Old Style" w:eastAsia="Helvetica" w:hAnsi="Bookman Old Style" w:cs="Helvetica"/>
          <w:lang w:val="en-US"/>
        </w:rPr>
      </w:pPr>
      <w:r w:rsidRPr="008719FC">
        <w:rPr>
          <w:rFonts w:ascii="Bookman Old Style" w:hAnsi="Bookman Old Style"/>
          <w:lang w:val="en-US"/>
        </w:rPr>
        <w:t>Hart, O. (2003), « Incomplete Contracts and Public Ownership: Remarks and an Application to Public-Private Partnerships », Economic Journal, 119: 69-76.</w:t>
      </w:r>
    </w:p>
    <w:p w:rsidR="00E149EB" w:rsidRPr="008719FC" w:rsidRDefault="00E149EB" w:rsidP="00E149EB">
      <w:pPr>
        <w:pStyle w:val="Corps"/>
        <w:numPr>
          <w:ilvl w:val="0"/>
          <w:numId w:val="18"/>
        </w:numPr>
        <w:rPr>
          <w:rFonts w:ascii="Bookman Old Style" w:eastAsia="Helvetica" w:hAnsi="Bookman Old Style" w:cs="Helvetica"/>
          <w:lang w:val="en-US"/>
        </w:rPr>
      </w:pPr>
      <w:r w:rsidRPr="008719FC">
        <w:rPr>
          <w:rFonts w:ascii="Bookman Old Style" w:hAnsi="Bookman Old Style"/>
          <w:lang w:val="en-US"/>
        </w:rPr>
        <w:t>Iossa, E. et D. Martimort (2014), « The Simple Micro-Economics of Public-Private Partnerships », Journal of Public Economic Theory, à paraître.</w:t>
      </w:r>
    </w:p>
    <w:p w:rsidR="00E149EB" w:rsidRPr="008719FC" w:rsidRDefault="00E149EB" w:rsidP="00E149EB">
      <w:pPr>
        <w:pStyle w:val="Corps"/>
        <w:numPr>
          <w:ilvl w:val="0"/>
          <w:numId w:val="18"/>
        </w:numPr>
        <w:rPr>
          <w:rFonts w:ascii="Bookman Old Style" w:eastAsia="Helvetica" w:hAnsi="Bookman Old Style" w:cs="Helvetica"/>
        </w:rPr>
      </w:pPr>
      <w:r w:rsidRPr="008719FC">
        <w:rPr>
          <w:rFonts w:ascii="Bookman Old Style" w:hAnsi="Bookman Old Style"/>
        </w:rPr>
        <w:t>Marty, F., S. Trosa et A. Voisin (2006), « Les partenariats public-privé », Éditions La Découverte.</w:t>
      </w:r>
    </w:p>
    <w:p w:rsidR="00E149EB" w:rsidRPr="008719FC" w:rsidRDefault="00E149EB" w:rsidP="00E149EB">
      <w:pPr>
        <w:pStyle w:val="Corps"/>
        <w:numPr>
          <w:ilvl w:val="0"/>
          <w:numId w:val="18"/>
        </w:numPr>
        <w:rPr>
          <w:rFonts w:ascii="Bookman Old Style" w:eastAsia="Helvetica" w:hAnsi="Bookman Old Style" w:cs="Helvetica"/>
        </w:rPr>
      </w:pPr>
      <w:r w:rsidRPr="008719FC">
        <w:rPr>
          <w:rFonts w:ascii="Bookman Old Style" w:hAnsi="Bookman Old Style"/>
          <w:lang w:val="en-US"/>
        </w:rPr>
        <w:t xml:space="preserve">Maskin, E. et J. Tirole (2008), « Public–private partnerships and government spending limits », International Journal of Industrial Organization. </w:t>
      </w:r>
      <w:r w:rsidRPr="008719FC">
        <w:rPr>
          <w:rFonts w:ascii="Bookman Old Style" w:hAnsi="Bookman Old Style"/>
        </w:rPr>
        <w:t>Special Issue on PPPs, 26: 412-420.</w:t>
      </w:r>
    </w:p>
    <w:p w:rsidR="00E149EB" w:rsidRDefault="00E149EB" w:rsidP="00E149EB">
      <w:pPr>
        <w:pStyle w:val="Corps"/>
        <w:rPr>
          <w:rFonts w:ascii="Bookman Old Style" w:hAnsi="Bookman Old Style"/>
        </w:rPr>
      </w:pPr>
    </w:p>
    <w:p w:rsidR="00020403" w:rsidRPr="008719FC" w:rsidRDefault="00020403" w:rsidP="00E149EB">
      <w:pPr>
        <w:pStyle w:val="Corps"/>
        <w:rPr>
          <w:rFonts w:ascii="Bookman Old Style" w:hAnsi="Bookman Old Style"/>
        </w:rPr>
      </w:pPr>
    </w:p>
    <w:p w:rsidR="00E84A44" w:rsidRDefault="00020403" w:rsidP="00C75640">
      <w:pPr>
        <w:jc w:val="center"/>
        <w:rPr>
          <w:rFonts w:ascii="Bookman Old Style" w:hAnsi="Bookman Old Style"/>
          <w:b/>
        </w:rPr>
      </w:pPr>
      <w:r w:rsidRPr="00AE4E48">
        <w:rPr>
          <w:rFonts w:ascii="Bookman Old Style" w:hAnsi="Bookman Old Style"/>
          <w:b/>
        </w:rPr>
        <w:t>Contrôle des connaissances : examen écrit.</w:t>
      </w:r>
      <w:r w:rsidR="00E135AA">
        <w:br w:type="page"/>
      </w:r>
      <w:r w:rsidR="003D466E" w:rsidRPr="003D466E">
        <w:rPr>
          <w:rFonts w:ascii="Bookman Old Style" w:hAnsi="Bookman Old Style"/>
          <w:b/>
        </w:rPr>
        <w:lastRenderedPageBreak/>
        <w:t xml:space="preserve">Droit des </w:t>
      </w:r>
      <w:r w:rsidR="008926CF" w:rsidRPr="00762B04">
        <w:rPr>
          <w:rFonts w:ascii="Bookman Old Style" w:hAnsi="Bookman Old Style"/>
          <w:b/>
        </w:rPr>
        <w:t>Contrats de partenariats public-privé</w:t>
      </w:r>
    </w:p>
    <w:p w:rsidR="008926CF" w:rsidRPr="00762B04" w:rsidRDefault="007B4340" w:rsidP="008926CF">
      <w:pPr>
        <w:jc w:val="center"/>
        <w:rPr>
          <w:rFonts w:ascii="Bookman Old Style" w:hAnsi="Bookman Old Style"/>
          <w:b/>
        </w:rPr>
      </w:pPr>
      <w:r>
        <w:rPr>
          <w:rFonts w:ascii="Bookman Old Style" w:hAnsi="Bookman Old Style"/>
          <w:b/>
        </w:rPr>
        <w:t>Mme FOLLIOT</w:t>
      </w:r>
      <w:r w:rsidR="008926CF" w:rsidRPr="00762B04">
        <w:rPr>
          <w:rFonts w:ascii="Bookman Old Style" w:hAnsi="Bookman Old Style"/>
          <w:b/>
        </w:rPr>
        <w:t>-L</w:t>
      </w:r>
      <w:r>
        <w:rPr>
          <w:rFonts w:ascii="Bookman Old Style" w:hAnsi="Bookman Old Style"/>
          <w:b/>
        </w:rPr>
        <w:t>ALLIOT</w:t>
      </w:r>
    </w:p>
    <w:p w:rsidR="008926CF" w:rsidRDefault="008926CF" w:rsidP="008926CF">
      <w:pPr>
        <w:jc w:val="both"/>
        <w:rPr>
          <w:rFonts w:ascii="Bookman Old Style" w:hAnsi="Bookman Old Style"/>
        </w:rPr>
      </w:pPr>
    </w:p>
    <w:p w:rsidR="008926CF" w:rsidRPr="00762B04" w:rsidRDefault="008926CF" w:rsidP="008926CF">
      <w:pPr>
        <w:jc w:val="both"/>
        <w:rPr>
          <w:rStyle w:val="Accentuation"/>
          <w:rFonts w:ascii="Bookman Old Style" w:hAnsi="Bookman Old Style"/>
          <w:b w:val="0"/>
          <w:color w:val="000000"/>
        </w:rPr>
      </w:pPr>
      <w:r w:rsidRPr="00762B04">
        <w:rPr>
          <w:rFonts w:ascii="Bookman Old Style" w:hAnsi="Bookman Old Style"/>
        </w:rPr>
        <w:t xml:space="preserve">Afin de revitaliser l’économie, le secteur public emprunte au secteur privé des méthodes de gestion financière, d’audit, de suivi et d’évaluation dans un souci d’efficience et d’efficacité. Le contrat de partenariats public-privé (PPP) est ainsi apparu pour mobiliser l’expertise technologique et les compétences de gestion du secteur privé dans l’intérêt public. Ce nouveau cadre contractuel est devenu nécessaire en raison des insuffisances des solutions existantes (marchés publics et délégations de service public) et au regard des nouveaux exemples étrangers (PFI, BOT). L’objectif du séminaire est donc de montrer l’évolution de ce type de contrat vers une approche plus dynamique, plus gestionnaire (économies d’échelle et meilleure efficience par la limitation des risques d’interface ; définition des objectifs de performances ; clauses de partage des risques et donc </w:t>
      </w:r>
      <w:r w:rsidRPr="00762B04">
        <w:rPr>
          <w:rFonts w:ascii="Bookman Old Style" w:hAnsi="Bookman Old Style"/>
          <w:color w:val="000000"/>
        </w:rPr>
        <w:t xml:space="preserve">recherche de </w:t>
      </w:r>
      <w:smartTag w:uri="urn:schemas-microsoft-com:office:smarttags" w:element="PersonName">
        <w:smartTagPr>
          <w:attr w:name="ProductID" w:val="la Best Value"/>
        </w:smartTagPr>
        <w:r w:rsidRPr="00762B04">
          <w:rPr>
            <w:rFonts w:ascii="Bookman Old Style" w:hAnsi="Bookman Old Style"/>
            <w:color w:val="000000"/>
          </w:rPr>
          <w:t xml:space="preserve">la </w:t>
        </w:r>
        <w:r w:rsidRPr="00762B04">
          <w:rPr>
            <w:rStyle w:val="Accentuation"/>
            <w:rFonts w:ascii="Bookman Old Style" w:hAnsi="Bookman Old Style"/>
            <w:b w:val="0"/>
            <w:color w:val="000000"/>
          </w:rPr>
          <w:t>Best Value</w:t>
        </w:r>
      </w:smartTag>
      <w:r w:rsidRPr="00762B04">
        <w:rPr>
          <w:rStyle w:val="Accentuation"/>
          <w:rFonts w:ascii="Bookman Old Style" w:hAnsi="Bookman Old Style"/>
          <w:b w:val="0"/>
          <w:color w:val="000000"/>
        </w:rPr>
        <w:t xml:space="preserve"> for Money).</w:t>
      </w:r>
    </w:p>
    <w:p w:rsidR="008926CF" w:rsidRPr="00762B04" w:rsidRDefault="008926CF" w:rsidP="008926CF">
      <w:pPr>
        <w:autoSpaceDE w:val="0"/>
        <w:autoSpaceDN w:val="0"/>
        <w:adjustRightInd w:val="0"/>
        <w:jc w:val="both"/>
        <w:rPr>
          <w:rFonts w:ascii="Bookman Old Style" w:hAnsi="Bookman Old Style"/>
        </w:rPr>
      </w:pPr>
      <w:r w:rsidRPr="00762B04">
        <w:rPr>
          <w:rFonts w:ascii="Bookman Old Style" w:hAnsi="Bookman Old Style"/>
        </w:rPr>
        <w:t xml:space="preserve">Le développement des partenariats public privé concerne non seulement les pays développés et tout particulièrement les pays européens mais les contrats de partenariat sont aussi des outils que </w:t>
      </w:r>
      <w:smartTag w:uri="urn:schemas-microsoft-com:office:smarttags" w:element="PersonName">
        <w:smartTagPr>
          <w:attr w:name="ProductID" w:val="la Banque Mondiale"/>
        </w:smartTagPr>
        <w:r w:rsidRPr="00762B04">
          <w:rPr>
            <w:rFonts w:ascii="Bookman Old Style" w:hAnsi="Bookman Old Style"/>
          </w:rPr>
          <w:t>la Banque Mondiale</w:t>
        </w:r>
      </w:smartTag>
      <w:r w:rsidRPr="00762B04">
        <w:rPr>
          <w:rFonts w:ascii="Bookman Old Style" w:hAnsi="Bookman Old Style"/>
        </w:rPr>
        <w:t xml:space="preserve"> cherche à promouvoir dans les pays en voie de développement pour y créer les conditions de la croissance de manière plus efficace et plus fructueuse que par le recours à des structures publiques (notamment en Afrique). Néanmoins, l’étendue du développement de ces contrats et l’éventail de leurs domaines d’application suscitent des inquiétudes. Ces partenariats ont un coût potentiel en terme de ressources mais aussi en terme de coût d’opportunité des autres stratégies offertes par le marché. Des échecs cuisants ont été enregistrés dans les pays industrialisés comme dans les pays en développement. Ils ont contribué à forger l’image d’arrangements opaques, excessivement favorables aux intérêts privés et source de corruption des pouvoirs publics. C’est donc un contrat controversé où certains y voient le symbole d’une privatisation rampante des services publics alors que d’autres le considèrent comme le moyen idéal pour combler le retard accumulé en matière d’investissements en équipements collectifs. </w:t>
      </w:r>
    </w:p>
    <w:p w:rsidR="008926CF" w:rsidRPr="00762B04" w:rsidRDefault="008926CF" w:rsidP="008926CF">
      <w:pPr>
        <w:jc w:val="both"/>
        <w:rPr>
          <w:rFonts w:ascii="Bookman Old Style" w:hAnsi="Bookman Old Style"/>
        </w:rPr>
      </w:pPr>
      <w:r w:rsidRPr="00762B04">
        <w:rPr>
          <w:rFonts w:ascii="Bookman Old Style" w:eastAsia="SimSun" w:hAnsi="Bookman Old Style"/>
          <w:lang w:eastAsia="zh-CN"/>
        </w:rPr>
        <w:t xml:space="preserve">OBJECTIFS : L’idée est de vous donner l’essentiel de ce que vous devez savoir pour être </w:t>
      </w:r>
      <w:r w:rsidRPr="00762B04">
        <w:rPr>
          <w:rFonts w:ascii="Bookman Old Style" w:eastAsia="SimSun" w:hAnsi="Bookman Old Style"/>
          <w:b/>
          <w:lang w:eastAsia="zh-CN"/>
        </w:rPr>
        <w:t>opérationnel</w:t>
      </w:r>
      <w:r w:rsidRPr="00762B04">
        <w:rPr>
          <w:rFonts w:ascii="Bookman Old Style" w:eastAsia="SimSun" w:hAnsi="Bookman Old Style"/>
          <w:lang w:eastAsia="zh-CN"/>
        </w:rPr>
        <w:t xml:space="preserve"> en matière de contrats de partenariats c’est-à-dire </w:t>
      </w:r>
      <w:r w:rsidRPr="00762B04">
        <w:rPr>
          <w:rFonts w:ascii="Bookman Old Style" w:eastAsia="SimSun" w:hAnsi="Bookman Old Style"/>
          <w:b/>
          <w:lang w:eastAsia="zh-CN"/>
        </w:rPr>
        <w:t>connaître les</w:t>
      </w:r>
      <w:r w:rsidRPr="00762B04">
        <w:rPr>
          <w:rFonts w:ascii="Bookman Old Style" w:eastAsia="SimSun" w:hAnsi="Bookman Old Style"/>
          <w:lang w:eastAsia="zh-CN"/>
        </w:rPr>
        <w:t xml:space="preserve"> </w:t>
      </w:r>
      <w:r w:rsidRPr="00762B04">
        <w:rPr>
          <w:rFonts w:ascii="Bookman Old Style" w:eastAsia="SimSun" w:hAnsi="Bookman Old Style"/>
          <w:b/>
          <w:lang w:eastAsia="zh-CN"/>
        </w:rPr>
        <w:t>notions</w:t>
      </w:r>
      <w:r w:rsidRPr="00762B04">
        <w:rPr>
          <w:rFonts w:ascii="Bookman Old Style" w:eastAsia="SimSun" w:hAnsi="Bookman Old Style"/>
          <w:lang w:eastAsia="zh-CN"/>
        </w:rPr>
        <w:t xml:space="preserve"> de partenariats mais aussi de marchés, de concessions, de maître d’ouvrage, de seuils, d’opération etc ; </w:t>
      </w:r>
      <w:r w:rsidRPr="00762B04">
        <w:rPr>
          <w:rFonts w:ascii="Bookman Old Style" w:eastAsia="SimSun" w:hAnsi="Bookman Old Style"/>
          <w:b/>
          <w:lang w:eastAsia="zh-CN"/>
        </w:rPr>
        <w:t>savoir</w:t>
      </w:r>
      <w:r w:rsidRPr="00762B04">
        <w:rPr>
          <w:rFonts w:ascii="Bookman Old Style" w:eastAsia="SimSun" w:hAnsi="Bookman Old Style"/>
          <w:lang w:eastAsia="zh-CN"/>
        </w:rPr>
        <w:t xml:space="preserve"> </w:t>
      </w:r>
      <w:r w:rsidRPr="00762B04">
        <w:rPr>
          <w:rFonts w:ascii="Bookman Old Style" w:hAnsi="Bookman Old Style"/>
          <w:b/>
        </w:rPr>
        <w:t>évaluer l’efficacité juridique et l’efficience économique d’un contrat de PPP (</w:t>
      </w:r>
      <w:r w:rsidRPr="00762B04">
        <w:rPr>
          <w:rFonts w:ascii="Bookman Old Style" w:hAnsi="Bookman Old Style"/>
        </w:rPr>
        <w:t xml:space="preserve">le recours à cette forme de contrat est-elle opportune, adaptée d’un point de vue tant juridique (conditions de mise en œuvre ?), économique (secteur propice à la concurrence ?) que matériel (quelle est la nature du besoin à satisfaire ?) ; </w:t>
      </w:r>
      <w:r w:rsidRPr="00762B04">
        <w:rPr>
          <w:rFonts w:ascii="Bookman Old Style" w:hAnsi="Bookman Old Style"/>
          <w:b/>
        </w:rPr>
        <w:t xml:space="preserve">réfléchir </w:t>
      </w:r>
      <w:r w:rsidRPr="00762B04">
        <w:rPr>
          <w:rFonts w:ascii="Bookman Old Style" w:eastAsia="SimSun" w:hAnsi="Bookman Old Style"/>
          <w:b/>
          <w:lang w:eastAsia="zh-CN"/>
        </w:rPr>
        <w:t>sur les méthodes de travail et d’organisation</w:t>
      </w:r>
      <w:r w:rsidRPr="00762B04">
        <w:rPr>
          <w:rFonts w:ascii="Bookman Old Style" w:eastAsia="SimSun" w:hAnsi="Bookman Old Style"/>
          <w:lang w:eastAsia="zh-CN"/>
        </w:rPr>
        <w:t xml:space="preserve"> d’un service des contrats publics (management administratif</w:t>
      </w:r>
      <w:r w:rsidRPr="00762B04">
        <w:rPr>
          <w:rFonts w:ascii="Bookman Old Style" w:hAnsi="Bookman Old Style"/>
        </w:rPr>
        <w:t xml:space="preserve"> fondé sur la stratégie de responsabilisation ; déploiement d’un mode de gouvernance le plus économique en coût). </w:t>
      </w:r>
    </w:p>
    <w:p w:rsidR="008926CF" w:rsidRPr="00762B04" w:rsidRDefault="008926CF" w:rsidP="008926CF">
      <w:pPr>
        <w:rPr>
          <w:rFonts w:ascii="Bookman Old Style" w:hAnsi="Bookman Old Style"/>
          <w:b/>
        </w:rPr>
      </w:pPr>
      <w:r w:rsidRPr="00762B04">
        <w:rPr>
          <w:rFonts w:ascii="Bookman Old Style" w:hAnsi="Bookman Old Style"/>
          <w:b/>
        </w:rPr>
        <w:t>I. Quel est l’intérêt de recourir à un CP ?</w:t>
      </w:r>
    </w:p>
    <w:p w:rsidR="008926CF" w:rsidRPr="00762B04" w:rsidRDefault="008926CF" w:rsidP="008926CF">
      <w:pPr>
        <w:jc w:val="both"/>
        <w:rPr>
          <w:rFonts w:ascii="Bookman Old Style" w:hAnsi="Bookman Old Style"/>
          <w:b/>
        </w:rPr>
      </w:pPr>
      <w:r w:rsidRPr="00762B04">
        <w:rPr>
          <w:rFonts w:ascii="Bookman Old Style" w:hAnsi="Bookman Old Style"/>
          <w:b/>
        </w:rPr>
        <w:lastRenderedPageBreak/>
        <w:t xml:space="preserve">A)- une longue mise au point : le droit communautaire, le cadre juridique français et la jurisprudence : </w:t>
      </w:r>
    </w:p>
    <w:p w:rsidR="008926CF" w:rsidRPr="00762B04" w:rsidRDefault="008926CF" w:rsidP="008926CF">
      <w:pPr>
        <w:autoSpaceDE w:val="0"/>
        <w:autoSpaceDN w:val="0"/>
        <w:adjustRightInd w:val="0"/>
        <w:jc w:val="both"/>
        <w:rPr>
          <w:rFonts w:ascii="Bookman Old Style" w:hAnsi="Bookman Old Style"/>
        </w:rPr>
      </w:pPr>
      <w:r w:rsidRPr="00762B04">
        <w:rPr>
          <w:rFonts w:ascii="Bookman Old Style" w:hAnsi="Bookman Old Style"/>
        </w:rPr>
        <w:tab/>
        <w:t>- LOPSI du 29 août 2002, LOPJ du 9 septembre 2001, LPM du 27 janvier 2003, OPSSS du 4 septembre 2003</w:t>
      </w:r>
    </w:p>
    <w:p w:rsidR="008926CF" w:rsidRPr="00762B04" w:rsidRDefault="008926CF" w:rsidP="008926CF">
      <w:pPr>
        <w:autoSpaceDE w:val="0"/>
        <w:autoSpaceDN w:val="0"/>
        <w:adjustRightInd w:val="0"/>
        <w:jc w:val="both"/>
        <w:rPr>
          <w:rFonts w:ascii="Bookman Old Style" w:hAnsi="Bookman Old Style"/>
        </w:rPr>
      </w:pPr>
      <w:r w:rsidRPr="00762B04">
        <w:rPr>
          <w:rFonts w:ascii="Bookman Old Style" w:hAnsi="Bookman Old Style"/>
        </w:rPr>
        <w:tab/>
        <w:t>- Ordonnance 2004-559 du 17 juin 2004 codifiée pour les collectivités territoriales aux articles L. 1414-1 et suivants du CGCT</w:t>
      </w:r>
    </w:p>
    <w:p w:rsidR="008926CF" w:rsidRPr="00762B04" w:rsidRDefault="008926CF" w:rsidP="008926CF">
      <w:pPr>
        <w:autoSpaceDE w:val="0"/>
        <w:autoSpaceDN w:val="0"/>
        <w:adjustRightInd w:val="0"/>
        <w:jc w:val="both"/>
        <w:rPr>
          <w:rFonts w:ascii="Bookman Old Style" w:hAnsi="Bookman Old Style"/>
        </w:rPr>
      </w:pPr>
      <w:r w:rsidRPr="00762B04">
        <w:rPr>
          <w:rFonts w:ascii="Bookman Old Style" w:hAnsi="Bookman Old Style"/>
        </w:rPr>
        <w:tab/>
        <w:t>- Directive communautaire 2004/18/CE du 31 mars 2004 portant coordination des procédures de passation des marchés TFS</w:t>
      </w:r>
    </w:p>
    <w:p w:rsidR="008926CF" w:rsidRPr="00762B04" w:rsidRDefault="008926CF" w:rsidP="008926CF">
      <w:pPr>
        <w:autoSpaceDE w:val="0"/>
        <w:autoSpaceDN w:val="0"/>
        <w:adjustRightInd w:val="0"/>
        <w:jc w:val="both"/>
        <w:rPr>
          <w:rFonts w:ascii="Bookman Old Style" w:hAnsi="Bookman Old Style"/>
        </w:rPr>
      </w:pPr>
      <w:r w:rsidRPr="00762B04">
        <w:rPr>
          <w:rFonts w:ascii="Bookman Old Style" w:hAnsi="Bookman Old Style"/>
        </w:rPr>
        <w:tab/>
        <w:t>- Décret n°2004-1119 du 19 octobre 2004 portant création de la mission d’appui à la réalisation des contrats de partenariat ; Décret n°2004-1145 du 27 octobre 2004 relatif à la procédure de passation, déjà modifié par les décrets n°2005-953 du 9 août 2005 (procédure AOR) et n°2005-1740 du 30 décembre 2005 (seuil publicité)</w:t>
      </w:r>
    </w:p>
    <w:p w:rsidR="008926CF" w:rsidRPr="00762B04" w:rsidRDefault="008926CF" w:rsidP="008926CF">
      <w:pPr>
        <w:autoSpaceDE w:val="0"/>
        <w:autoSpaceDN w:val="0"/>
        <w:adjustRightInd w:val="0"/>
        <w:jc w:val="both"/>
        <w:rPr>
          <w:rFonts w:ascii="Bookman Old Style" w:hAnsi="Bookman Old Style"/>
        </w:rPr>
      </w:pPr>
      <w:r w:rsidRPr="00762B04">
        <w:rPr>
          <w:rFonts w:ascii="Bookman Old Style" w:hAnsi="Bookman Old Style"/>
        </w:rPr>
        <w:tab/>
        <w:t>- Modifications apportées par la loi du 28 juillet 2008</w:t>
      </w:r>
    </w:p>
    <w:p w:rsidR="008926CF" w:rsidRPr="00762B04" w:rsidRDefault="008926CF" w:rsidP="008926CF">
      <w:pPr>
        <w:autoSpaceDE w:val="0"/>
        <w:autoSpaceDN w:val="0"/>
        <w:adjustRightInd w:val="0"/>
        <w:jc w:val="both"/>
        <w:rPr>
          <w:rFonts w:ascii="Bookman Old Style" w:hAnsi="Bookman Old Style"/>
          <w:bCs/>
        </w:rPr>
      </w:pPr>
      <w:r w:rsidRPr="00762B04">
        <w:rPr>
          <w:rFonts w:ascii="Bookman Old Style" w:hAnsi="Bookman Old Style"/>
        </w:rPr>
        <w:tab/>
        <w:t xml:space="preserve">- </w:t>
      </w:r>
      <w:r w:rsidRPr="00762B04">
        <w:rPr>
          <w:rFonts w:ascii="Bookman Old Style" w:hAnsi="Bookman Old Style"/>
          <w:bCs/>
        </w:rPr>
        <w:t xml:space="preserve">Loi du 17 février 2009 « plan de relance » et les décrets du 2 mars 2009. </w:t>
      </w:r>
    </w:p>
    <w:p w:rsidR="008926CF" w:rsidRPr="00762B04" w:rsidRDefault="008926CF" w:rsidP="008926CF">
      <w:pPr>
        <w:autoSpaceDE w:val="0"/>
        <w:autoSpaceDN w:val="0"/>
        <w:adjustRightInd w:val="0"/>
        <w:ind w:firstLine="708"/>
        <w:jc w:val="both"/>
        <w:rPr>
          <w:rFonts w:ascii="Bookman Old Style" w:hAnsi="Bookman Old Style"/>
        </w:rPr>
      </w:pPr>
      <w:r w:rsidRPr="00762B04">
        <w:rPr>
          <w:rFonts w:ascii="Bookman Old Style" w:hAnsi="Bookman Old Style"/>
          <w:bCs/>
        </w:rPr>
        <w:t>- Jurisprudence sur l’interprétation de la notion d’urgence</w:t>
      </w:r>
    </w:p>
    <w:p w:rsidR="008926CF" w:rsidRPr="00762B04" w:rsidRDefault="008926CF" w:rsidP="008926CF">
      <w:pPr>
        <w:jc w:val="both"/>
        <w:rPr>
          <w:rFonts w:ascii="Bookman Old Style" w:hAnsi="Bookman Old Style"/>
          <w:b/>
        </w:rPr>
      </w:pPr>
      <w:r w:rsidRPr="00762B04">
        <w:rPr>
          <w:rFonts w:ascii="Bookman Old Style" w:hAnsi="Bookman Old Style"/>
          <w:b/>
        </w:rPr>
        <w:t xml:space="preserve">B) Un contrat global qui met en œuvre un accord économique (optimisation et rationalisation des choix d’investissements publics) : </w:t>
      </w:r>
    </w:p>
    <w:p w:rsidR="008926CF" w:rsidRPr="00762B04" w:rsidRDefault="008926CF" w:rsidP="008926CF">
      <w:pPr>
        <w:ind w:firstLine="708"/>
        <w:jc w:val="both"/>
        <w:rPr>
          <w:rFonts w:ascii="Bookman Old Style" w:hAnsi="Bookman Old Style"/>
        </w:rPr>
      </w:pPr>
      <w:r w:rsidRPr="00762B04">
        <w:rPr>
          <w:rFonts w:ascii="Bookman Old Style" w:hAnsi="Bookman Old Style"/>
        </w:rPr>
        <w:t>- énoncé des principes financiers</w:t>
      </w:r>
    </w:p>
    <w:p w:rsidR="008926CF" w:rsidRPr="00762B04" w:rsidRDefault="008926CF" w:rsidP="008926CF">
      <w:pPr>
        <w:ind w:left="708"/>
        <w:jc w:val="both"/>
        <w:rPr>
          <w:rFonts w:ascii="Bookman Old Style" w:hAnsi="Bookman Old Style"/>
        </w:rPr>
      </w:pPr>
      <w:r w:rsidRPr="00762B04">
        <w:rPr>
          <w:rFonts w:ascii="Bookman Old Style" w:hAnsi="Bookman Old Style"/>
        </w:rPr>
        <w:t>- domaines d’interventions (bâtiments scolaires, stations d’épuration, éclairage public, traitements numériques, opérations de rénovation urbaine, contrats de partenariats énergétiques)</w:t>
      </w:r>
    </w:p>
    <w:p w:rsidR="008926CF" w:rsidRPr="00762B04" w:rsidRDefault="008926CF" w:rsidP="008926CF">
      <w:pPr>
        <w:jc w:val="both"/>
        <w:rPr>
          <w:rFonts w:ascii="Bookman Old Style" w:hAnsi="Bookman Old Style"/>
        </w:rPr>
      </w:pPr>
      <w:r w:rsidRPr="00762B04">
        <w:rPr>
          <w:rFonts w:ascii="Bookman Old Style" w:hAnsi="Bookman Old Style"/>
        </w:rPr>
        <w:t>- analyse comparative avec les autres instruments de la commande publique</w:t>
      </w:r>
    </w:p>
    <w:p w:rsidR="008926CF" w:rsidRPr="00762B04" w:rsidRDefault="008926CF" w:rsidP="008926CF">
      <w:pPr>
        <w:jc w:val="both"/>
        <w:rPr>
          <w:rFonts w:ascii="Bookman Old Style" w:hAnsi="Bookman Old Style"/>
          <w:b/>
        </w:rPr>
      </w:pPr>
      <w:r w:rsidRPr="00762B04">
        <w:rPr>
          <w:rFonts w:ascii="Bookman Old Style" w:hAnsi="Bookman Old Style"/>
          <w:b/>
        </w:rPr>
        <w:t xml:space="preserve">II. Quelles conditions remplir pour recourir à un CP ? </w:t>
      </w:r>
    </w:p>
    <w:p w:rsidR="008926CF" w:rsidRPr="00762B04" w:rsidRDefault="008926CF" w:rsidP="008926CF">
      <w:pPr>
        <w:jc w:val="both"/>
        <w:rPr>
          <w:rFonts w:ascii="Bookman Old Style" w:hAnsi="Bookman Old Style"/>
        </w:rPr>
      </w:pPr>
      <w:r w:rsidRPr="00762B04">
        <w:rPr>
          <w:rFonts w:ascii="Bookman Old Style" w:hAnsi="Bookman Old Style"/>
        </w:rPr>
        <w:t>L’évaluation préalable</w:t>
      </w:r>
    </w:p>
    <w:p w:rsidR="008926CF" w:rsidRPr="00762B04" w:rsidRDefault="008926CF" w:rsidP="008926CF">
      <w:pPr>
        <w:numPr>
          <w:ilvl w:val="0"/>
          <w:numId w:val="3"/>
        </w:numPr>
        <w:spacing w:after="0" w:line="240" w:lineRule="auto"/>
        <w:jc w:val="both"/>
        <w:rPr>
          <w:rFonts w:ascii="Bookman Old Style" w:hAnsi="Bookman Old Style"/>
        </w:rPr>
      </w:pPr>
      <w:r w:rsidRPr="00762B04">
        <w:rPr>
          <w:rFonts w:ascii="Bookman Old Style" w:hAnsi="Bookman Old Style"/>
        </w:rPr>
        <w:t xml:space="preserve">la MAPPP, le site Site web: </w:t>
      </w:r>
      <w:r w:rsidRPr="00762B04">
        <w:rPr>
          <w:rFonts w:ascii="Bookman Old Style" w:hAnsi="Bookman Old Style"/>
          <w:i/>
          <w:iCs/>
        </w:rPr>
        <w:t>www.ppp.minefi.gouv.fr</w:t>
      </w:r>
      <w:r w:rsidRPr="00762B04">
        <w:rPr>
          <w:rFonts w:ascii="Bookman Old Style" w:hAnsi="Bookman Old Style"/>
        </w:rPr>
        <w:t xml:space="preserve"> </w:t>
      </w:r>
    </w:p>
    <w:p w:rsidR="008926CF" w:rsidRPr="00762B04" w:rsidRDefault="008926CF" w:rsidP="008926CF">
      <w:pPr>
        <w:numPr>
          <w:ilvl w:val="0"/>
          <w:numId w:val="3"/>
        </w:numPr>
        <w:spacing w:after="0" w:line="240" w:lineRule="auto"/>
        <w:jc w:val="both"/>
        <w:rPr>
          <w:rFonts w:ascii="Bookman Old Style" w:hAnsi="Bookman Old Style"/>
        </w:rPr>
      </w:pPr>
      <w:r w:rsidRPr="00762B04">
        <w:rPr>
          <w:rFonts w:ascii="Bookman Old Style" w:hAnsi="Bookman Old Style"/>
        </w:rPr>
        <w:t>les autres appuis à la mise en œuvre (élaboration d’outils de contractualisation comme les recommandations, les clause-types etc).</w:t>
      </w:r>
    </w:p>
    <w:p w:rsidR="008926CF" w:rsidRPr="00762B04" w:rsidRDefault="008926CF" w:rsidP="008926CF">
      <w:pPr>
        <w:jc w:val="both"/>
        <w:rPr>
          <w:rFonts w:ascii="Bookman Old Style" w:hAnsi="Bookman Old Style"/>
        </w:rPr>
      </w:pPr>
      <w:r w:rsidRPr="00762B04">
        <w:rPr>
          <w:rFonts w:ascii="Bookman Old Style" w:hAnsi="Bookman Old Style"/>
        </w:rPr>
        <w:t>L’élaboration du programme fonctionnel</w:t>
      </w:r>
    </w:p>
    <w:p w:rsidR="008926CF" w:rsidRPr="00762B04" w:rsidRDefault="008926CF" w:rsidP="008926CF">
      <w:pPr>
        <w:jc w:val="both"/>
        <w:rPr>
          <w:rFonts w:ascii="Bookman Old Style" w:hAnsi="Bookman Old Style"/>
        </w:rPr>
      </w:pPr>
      <w:r w:rsidRPr="00762B04">
        <w:rPr>
          <w:rFonts w:ascii="Bookman Old Style" w:hAnsi="Bookman Old Style"/>
        </w:rPr>
        <w:t>La procédure de passation</w:t>
      </w:r>
    </w:p>
    <w:p w:rsidR="008926CF" w:rsidRPr="00762B04" w:rsidRDefault="008926CF" w:rsidP="008926CF">
      <w:pPr>
        <w:numPr>
          <w:ilvl w:val="0"/>
          <w:numId w:val="3"/>
        </w:numPr>
        <w:spacing w:after="0" w:line="240" w:lineRule="auto"/>
        <w:jc w:val="both"/>
        <w:rPr>
          <w:rFonts w:ascii="Bookman Old Style" w:hAnsi="Bookman Old Style"/>
        </w:rPr>
      </w:pPr>
      <w:r w:rsidRPr="00762B04">
        <w:rPr>
          <w:rFonts w:ascii="Bookman Old Style" w:hAnsi="Bookman Old Style"/>
        </w:rPr>
        <w:t>mesures de publicité, mise en concurrence</w:t>
      </w:r>
    </w:p>
    <w:p w:rsidR="008926CF" w:rsidRPr="00762B04" w:rsidRDefault="008926CF" w:rsidP="008926CF">
      <w:pPr>
        <w:numPr>
          <w:ilvl w:val="0"/>
          <w:numId w:val="3"/>
        </w:numPr>
        <w:spacing w:after="0" w:line="240" w:lineRule="auto"/>
        <w:jc w:val="both"/>
        <w:rPr>
          <w:rFonts w:ascii="Bookman Old Style" w:hAnsi="Bookman Old Style"/>
        </w:rPr>
      </w:pPr>
      <w:r w:rsidRPr="00762B04">
        <w:rPr>
          <w:rFonts w:ascii="Bookman Old Style" w:hAnsi="Bookman Old Style"/>
        </w:rPr>
        <w:t>le dialogue et le choix de l’attributaire</w:t>
      </w:r>
    </w:p>
    <w:p w:rsidR="008926CF" w:rsidRPr="00762B04" w:rsidRDefault="008926CF" w:rsidP="008926CF">
      <w:pPr>
        <w:numPr>
          <w:ilvl w:val="0"/>
          <w:numId w:val="3"/>
        </w:numPr>
        <w:spacing w:after="0" w:line="240" w:lineRule="auto"/>
        <w:jc w:val="both"/>
        <w:rPr>
          <w:rFonts w:ascii="Bookman Old Style" w:hAnsi="Bookman Old Style"/>
        </w:rPr>
      </w:pPr>
      <w:r w:rsidRPr="00762B04">
        <w:rPr>
          <w:rFonts w:ascii="Bookman Old Style" w:hAnsi="Bookman Old Style"/>
        </w:rPr>
        <w:t>la répartition des risques</w:t>
      </w:r>
    </w:p>
    <w:p w:rsidR="008926CF" w:rsidRPr="00762B04" w:rsidRDefault="008926CF" w:rsidP="008926CF">
      <w:pPr>
        <w:numPr>
          <w:ilvl w:val="0"/>
          <w:numId w:val="3"/>
        </w:numPr>
        <w:spacing w:after="0" w:line="240" w:lineRule="auto"/>
        <w:jc w:val="both"/>
        <w:rPr>
          <w:rFonts w:ascii="Bookman Old Style" w:hAnsi="Bookman Old Style"/>
        </w:rPr>
      </w:pPr>
      <w:r w:rsidRPr="00762B04">
        <w:rPr>
          <w:rFonts w:ascii="Bookman Old Style" w:hAnsi="Bookman Old Style"/>
        </w:rPr>
        <w:t>les clauses de résiliation</w:t>
      </w:r>
    </w:p>
    <w:p w:rsidR="002400A2" w:rsidRDefault="002400A2">
      <w:pPr>
        <w:rPr>
          <w:rFonts w:ascii="Bookman Old Style" w:hAnsi="Bookman Old Style"/>
        </w:rPr>
      </w:pPr>
    </w:p>
    <w:p w:rsidR="002400A2" w:rsidRDefault="002400A2">
      <w:pPr>
        <w:rPr>
          <w:rFonts w:ascii="Bookman Old Style" w:hAnsi="Bookman Old Style"/>
        </w:rPr>
      </w:pPr>
      <w:r w:rsidRPr="00AE4E48">
        <w:rPr>
          <w:rFonts w:ascii="Bookman Old Style" w:hAnsi="Bookman Old Style"/>
          <w:b/>
        </w:rPr>
        <w:t xml:space="preserve">Contrôle des connaissances : </w:t>
      </w:r>
      <w:r>
        <w:rPr>
          <w:rFonts w:ascii="Bookman Old Style" w:hAnsi="Bookman Old Style"/>
          <w:b/>
        </w:rPr>
        <w:t xml:space="preserve">exposé ou </w:t>
      </w:r>
      <w:r w:rsidRPr="00AE4E48">
        <w:rPr>
          <w:rFonts w:ascii="Bookman Old Style" w:hAnsi="Bookman Old Style"/>
          <w:b/>
        </w:rPr>
        <w:t>examen écrit.</w:t>
      </w:r>
    </w:p>
    <w:p w:rsidR="00AC2C93" w:rsidRDefault="00AC2C93" w:rsidP="00AC2C93">
      <w:pPr>
        <w:jc w:val="center"/>
        <w:rPr>
          <w:rFonts w:ascii="Bookman Old Style" w:hAnsi="Bookman Old Style"/>
          <w:b/>
        </w:rPr>
      </w:pPr>
      <w:r>
        <w:rPr>
          <w:rFonts w:ascii="Bookman Old Style" w:hAnsi="Bookman Old Style"/>
          <w:b/>
        </w:rPr>
        <w:lastRenderedPageBreak/>
        <w:t>Principes de l’évaluation économique du droit</w:t>
      </w:r>
    </w:p>
    <w:p w:rsidR="00AC2C93" w:rsidRPr="00762B04" w:rsidRDefault="00AC2C93" w:rsidP="00AC2C93">
      <w:pPr>
        <w:jc w:val="center"/>
        <w:rPr>
          <w:rFonts w:ascii="Bookman Old Style" w:hAnsi="Bookman Old Style"/>
          <w:b/>
        </w:rPr>
      </w:pPr>
      <w:r>
        <w:rPr>
          <w:rFonts w:ascii="Bookman Old Style" w:hAnsi="Bookman Old Style"/>
          <w:b/>
        </w:rPr>
        <w:t>M ZOUIKRI</w:t>
      </w:r>
    </w:p>
    <w:p w:rsidR="00AC2C93" w:rsidRPr="00271FE4" w:rsidRDefault="00AC2C93" w:rsidP="00040277">
      <w:pPr>
        <w:rPr>
          <w:rFonts w:ascii="Bookman Old Style" w:hAnsi="Bookman Old Style"/>
          <w:b/>
        </w:rPr>
      </w:pPr>
    </w:p>
    <w:p w:rsidR="00AC2C93" w:rsidRPr="00271FE4" w:rsidRDefault="00AC2C93" w:rsidP="00AC2C93">
      <w:pPr>
        <w:jc w:val="both"/>
        <w:rPr>
          <w:rFonts w:ascii="Bookman Old Style" w:hAnsi="Bookman Old Style"/>
          <w:b/>
        </w:rPr>
      </w:pPr>
      <w:r w:rsidRPr="00271FE4">
        <w:rPr>
          <w:rFonts w:ascii="Bookman Old Style" w:hAnsi="Bookman Old Style"/>
          <w:b/>
        </w:rPr>
        <w:t xml:space="preserve">Objectif du cours </w:t>
      </w:r>
    </w:p>
    <w:p w:rsidR="00AC2C93" w:rsidRDefault="00040277" w:rsidP="00AC2C93">
      <w:pPr>
        <w:spacing w:after="0" w:line="360" w:lineRule="auto"/>
        <w:jc w:val="both"/>
        <w:rPr>
          <w:rFonts w:ascii="Bookman Old Style" w:hAnsi="Bookman Old Style"/>
        </w:rPr>
      </w:pPr>
      <w:r w:rsidRPr="00271FE4">
        <w:rPr>
          <w:rFonts w:ascii="Bookman Old Style" w:hAnsi="Bookman Old Style"/>
          <w:b/>
        </w:rPr>
        <w:t>Introduction à l’économétrie appliquée sous STATA</w:t>
      </w:r>
      <w:r>
        <w:rPr>
          <w:rFonts w:ascii="Bookman Old Style" w:hAnsi="Bookman Old Style"/>
          <w:b/>
        </w:rPr>
        <w:t>.</w:t>
      </w:r>
      <w:r w:rsidRPr="00AC2C93">
        <w:rPr>
          <w:rFonts w:ascii="Bookman Old Style" w:hAnsi="Bookman Old Style"/>
        </w:rPr>
        <w:t xml:space="preserve"> </w:t>
      </w:r>
      <w:r w:rsidR="00AC2C93" w:rsidRPr="00AC2C93">
        <w:rPr>
          <w:rFonts w:ascii="Bookman Old Style" w:hAnsi="Bookman Old Style"/>
        </w:rPr>
        <w:t>Cette formation vise à fournir une introduction à l’économétrie appliquée sous Stata. Elle débute par la présentation de la logique du fonctionnement de Stata (menu et programmation). L’accent sera mis ensuite sur le volet application en optant pour la programmation. Un rappel des modèles et notions économétriques sous-jacentes sera fait à chaque fois que cela est nécessaire. L’objectif principal du cours est de permettre à l’utilisateur une prise en main rapide de Stata tout en lui fournissant les bases nécessaires pour un approfondissement ultérieur en fonction du domaine d’étude ou de recherche.</w:t>
      </w:r>
    </w:p>
    <w:p w:rsidR="00AC2C93" w:rsidRPr="00AC2C93" w:rsidRDefault="00AC2C93" w:rsidP="00AC2C93">
      <w:pPr>
        <w:spacing w:after="0" w:line="360" w:lineRule="auto"/>
        <w:jc w:val="both"/>
        <w:rPr>
          <w:rFonts w:ascii="Bookman Old Style" w:hAnsi="Bookman Old Style"/>
        </w:rPr>
      </w:pPr>
    </w:p>
    <w:p w:rsidR="00AC2C93" w:rsidRDefault="00AC2C93" w:rsidP="00AC2C93">
      <w:pPr>
        <w:pBdr>
          <w:bottom w:val="double" w:sz="6" w:space="1" w:color="auto"/>
        </w:pBdr>
        <w:spacing w:after="0" w:line="240" w:lineRule="auto"/>
        <w:jc w:val="both"/>
        <w:rPr>
          <w:rFonts w:ascii="Bookman Old Style" w:hAnsi="Bookman Old Style"/>
          <w:b/>
        </w:rPr>
      </w:pPr>
      <w:r w:rsidRPr="00AC2C93">
        <w:rPr>
          <w:rFonts w:ascii="Bookman Old Style" w:hAnsi="Bookman Old Style"/>
          <w:b/>
        </w:rPr>
        <w:t>Programme</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45"/>
      </w:tblGrid>
      <w:tr w:rsidR="00AC2C93" w:rsidRPr="00AC2C93" w:rsidTr="004F3B4B">
        <w:tc>
          <w:tcPr>
            <w:tcW w:w="6345" w:type="dxa"/>
          </w:tcPr>
          <w:p w:rsidR="00AC2C93" w:rsidRPr="00AC2C93" w:rsidRDefault="00AC2C93" w:rsidP="004F3B4B">
            <w:pPr>
              <w:pStyle w:val="Paragraphedeliste"/>
              <w:numPr>
                <w:ilvl w:val="0"/>
                <w:numId w:val="42"/>
              </w:numPr>
              <w:jc w:val="both"/>
              <w:rPr>
                <w:rFonts w:ascii="Bookman Old Style" w:hAnsi="Bookman Old Style"/>
                <w:b/>
              </w:rPr>
            </w:pPr>
            <w:r w:rsidRPr="00AC2C93">
              <w:rPr>
                <w:rFonts w:ascii="Bookman Old Style" w:hAnsi="Bookman Old Style"/>
              </w:rPr>
              <w:t>Prise en main de Stata</w:t>
            </w:r>
          </w:p>
          <w:p w:rsidR="00AC2C93" w:rsidRPr="00AC2C93" w:rsidRDefault="00AC2C93" w:rsidP="004F3B4B">
            <w:pPr>
              <w:pStyle w:val="Paragraphedeliste"/>
              <w:numPr>
                <w:ilvl w:val="1"/>
                <w:numId w:val="42"/>
              </w:numPr>
              <w:jc w:val="both"/>
              <w:rPr>
                <w:rFonts w:ascii="Bookman Old Style" w:hAnsi="Bookman Old Style"/>
                <w:b/>
              </w:rPr>
            </w:pPr>
            <w:r w:rsidRPr="00AC2C93">
              <w:rPr>
                <w:rFonts w:ascii="Bookman Old Style" w:hAnsi="Bookman Old Style"/>
              </w:rPr>
              <w:t>Menu et composantes du logiciel</w:t>
            </w:r>
          </w:p>
          <w:p w:rsidR="00AC2C93" w:rsidRPr="00AC2C93" w:rsidRDefault="00AC2C93" w:rsidP="004F3B4B">
            <w:pPr>
              <w:pStyle w:val="Paragraphedeliste"/>
              <w:numPr>
                <w:ilvl w:val="1"/>
                <w:numId w:val="42"/>
              </w:numPr>
              <w:jc w:val="both"/>
              <w:rPr>
                <w:rFonts w:ascii="Bookman Old Style" w:hAnsi="Bookman Old Style"/>
                <w:b/>
              </w:rPr>
            </w:pPr>
            <w:r w:rsidRPr="00AC2C93">
              <w:rPr>
                <w:rFonts w:ascii="Bookman Old Style" w:hAnsi="Bookman Old Style"/>
              </w:rPr>
              <w:t>Code et programmes Stata (</w:t>
            </w:r>
            <w:r w:rsidRPr="00AC2C93">
              <w:rPr>
                <w:rFonts w:ascii="Bookman Old Style" w:hAnsi="Bookman Old Style"/>
                <w:i/>
              </w:rPr>
              <w:t>do file</w:t>
            </w:r>
            <w:r w:rsidRPr="00AC2C93">
              <w:rPr>
                <w:rFonts w:ascii="Bookman Old Style" w:hAnsi="Bookman Old Style"/>
              </w:rPr>
              <w:t>)</w:t>
            </w:r>
          </w:p>
          <w:p w:rsidR="00AC2C93" w:rsidRPr="00AC2C93" w:rsidRDefault="00AC2C93" w:rsidP="004F3B4B">
            <w:pPr>
              <w:pStyle w:val="Paragraphedeliste"/>
              <w:numPr>
                <w:ilvl w:val="1"/>
                <w:numId w:val="42"/>
              </w:numPr>
              <w:jc w:val="both"/>
              <w:rPr>
                <w:rFonts w:ascii="Bookman Old Style" w:hAnsi="Bookman Old Style"/>
                <w:b/>
              </w:rPr>
            </w:pPr>
            <w:r w:rsidRPr="00AC2C93">
              <w:rPr>
                <w:rFonts w:ascii="Bookman Old Style" w:hAnsi="Bookman Old Style"/>
              </w:rPr>
              <w:t>Manipulation des données</w:t>
            </w:r>
          </w:p>
          <w:p w:rsidR="00AC2C93" w:rsidRPr="00AC2C93" w:rsidRDefault="00AC2C93" w:rsidP="004F3B4B">
            <w:pPr>
              <w:pStyle w:val="Paragraphedeliste"/>
              <w:numPr>
                <w:ilvl w:val="1"/>
                <w:numId w:val="42"/>
              </w:numPr>
              <w:jc w:val="both"/>
              <w:rPr>
                <w:rFonts w:ascii="Bookman Old Style" w:hAnsi="Bookman Old Style"/>
                <w:b/>
              </w:rPr>
            </w:pPr>
            <w:r w:rsidRPr="00AC2C93">
              <w:rPr>
                <w:rFonts w:ascii="Bookman Old Style" w:hAnsi="Bookman Old Style"/>
              </w:rPr>
              <w:t>Import &amp; Export des données</w:t>
            </w:r>
          </w:p>
          <w:p w:rsidR="00AC2C93" w:rsidRPr="00AC2C93" w:rsidRDefault="00AC2C93" w:rsidP="004F3B4B">
            <w:pPr>
              <w:pStyle w:val="Paragraphedeliste"/>
              <w:numPr>
                <w:ilvl w:val="1"/>
                <w:numId w:val="42"/>
              </w:numPr>
              <w:jc w:val="both"/>
              <w:rPr>
                <w:rFonts w:ascii="Bookman Old Style" w:hAnsi="Bookman Old Style"/>
                <w:b/>
              </w:rPr>
            </w:pPr>
            <w:r w:rsidRPr="00AC2C93">
              <w:rPr>
                <w:rFonts w:ascii="Bookman Old Style" w:hAnsi="Bookman Old Style"/>
              </w:rPr>
              <w:t>Fusion et mise à jour des tables de données</w:t>
            </w:r>
          </w:p>
        </w:tc>
      </w:tr>
      <w:tr w:rsidR="00AC2C93" w:rsidRPr="00AC2C93" w:rsidTr="004F3B4B">
        <w:tc>
          <w:tcPr>
            <w:tcW w:w="6345" w:type="dxa"/>
          </w:tcPr>
          <w:p w:rsidR="00AC2C93" w:rsidRPr="00AC2C93" w:rsidRDefault="00AC2C93" w:rsidP="004F3B4B">
            <w:pPr>
              <w:pStyle w:val="Paragraphedeliste"/>
              <w:numPr>
                <w:ilvl w:val="0"/>
                <w:numId w:val="42"/>
              </w:numPr>
              <w:jc w:val="both"/>
              <w:rPr>
                <w:rFonts w:ascii="Bookman Old Style" w:hAnsi="Bookman Old Style"/>
                <w:b/>
              </w:rPr>
            </w:pPr>
            <w:r w:rsidRPr="00AC2C93">
              <w:rPr>
                <w:rFonts w:ascii="Bookman Old Style" w:hAnsi="Bookman Old Style"/>
              </w:rPr>
              <w:t>Statistiques descriptives</w:t>
            </w:r>
          </w:p>
          <w:p w:rsidR="00AC2C93" w:rsidRPr="00AC2C93" w:rsidRDefault="00AC2C93" w:rsidP="004F3B4B">
            <w:pPr>
              <w:pStyle w:val="Paragraphedeliste"/>
              <w:numPr>
                <w:ilvl w:val="1"/>
                <w:numId w:val="42"/>
              </w:numPr>
              <w:jc w:val="both"/>
              <w:rPr>
                <w:rFonts w:ascii="Bookman Old Style" w:hAnsi="Bookman Old Style"/>
                <w:b/>
              </w:rPr>
            </w:pPr>
            <w:r w:rsidRPr="00AC2C93">
              <w:rPr>
                <w:rFonts w:ascii="Bookman Old Style" w:hAnsi="Bookman Old Style"/>
              </w:rPr>
              <w:t>Description d’un échantillon</w:t>
            </w:r>
          </w:p>
          <w:p w:rsidR="00AC2C93" w:rsidRPr="00AC2C93" w:rsidRDefault="00AC2C93" w:rsidP="004F3B4B">
            <w:pPr>
              <w:pStyle w:val="Paragraphedeliste"/>
              <w:numPr>
                <w:ilvl w:val="1"/>
                <w:numId w:val="42"/>
              </w:numPr>
              <w:jc w:val="both"/>
              <w:rPr>
                <w:rFonts w:ascii="Bookman Old Style" w:hAnsi="Bookman Old Style"/>
                <w:b/>
              </w:rPr>
            </w:pPr>
            <w:r w:rsidRPr="00AC2C93">
              <w:rPr>
                <w:rFonts w:ascii="Bookman Old Style" w:hAnsi="Bookman Old Style"/>
              </w:rPr>
              <w:t>Etude des liens entre les variables</w:t>
            </w:r>
          </w:p>
          <w:p w:rsidR="00AC2C93" w:rsidRPr="00AC2C93" w:rsidRDefault="00AC2C93" w:rsidP="004F3B4B">
            <w:pPr>
              <w:pStyle w:val="Paragraphedeliste"/>
              <w:numPr>
                <w:ilvl w:val="1"/>
                <w:numId w:val="42"/>
              </w:numPr>
              <w:jc w:val="both"/>
              <w:rPr>
                <w:rFonts w:ascii="Bookman Old Style" w:hAnsi="Bookman Old Style"/>
                <w:b/>
              </w:rPr>
            </w:pPr>
            <w:r w:rsidRPr="00AC2C93">
              <w:rPr>
                <w:rFonts w:ascii="Bookman Old Style" w:hAnsi="Bookman Old Style"/>
              </w:rPr>
              <w:t>Tests statistiques (Chi-deux, égalités de moyennes)</w:t>
            </w:r>
          </w:p>
        </w:tc>
      </w:tr>
      <w:tr w:rsidR="00AC2C93" w:rsidRPr="00AC2C93" w:rsidTr="004F3B4B">
        <w:tc>
          <w:tcPr>
            <w:tcW w:w="6345" w:type="dxa"/>
          </w:tcPr>
          <w:p w:rsidR="00AC2C93" w:rsidRPr="00AC2C93" w:rsidRDefault="00AC2C93" w:rsidP="004F3B4B">
            <w:pPr>
              <w:pStyle w:val="Paragraphedeliste"/>
              <w:numPr>
                <w:ilvl w:val="0"/>
                <w:numId w:val="42"/>
              </w:numPr>
              <w:jc w:val="both"/>
              <w:rPr>
                <w:rFonts w:ascii="Bookman Old Style" w:hAnsi="Bookman Old Style"/>
                <w:b/>
              </w:rPr>
            </w:pPr>
            <w:r w:rsidRPr="00AC2C93">
              <w:rPr>
                <w:rFonts w:ascii="Bookman Old Style" w:hAnsi="Bookman Old Style"/>
              </w:rPr>
              <w:t>Modélisation économétrique</w:t>
            </w:r>
          </w:p>
        </w:tc>
      </w:tr>
      <w:tr w:rsidR="00AC2C93" w:rsidRPr="00AC2C93" w:rsidTr="004F3B4B">
        <w:tc>
          <w:tcPr>
            <w:tcW w:w="6345" w:type="dxa"/>
          </w:tcPr>
          <w:p w:rsidR="00AC2C93" w:rsidRPr="00AC2C93" w:rsidRDefault="00AC2C93" w:rsidP="004F3B4B">
            <w:pPr>
              <w:pStyle w:val="Paragraphedeliste"/>
              <w:numPr>
                <w:ilvl w:val="1"/>
                <w:numId w:val="42"/>
              </w:numPr>
              <w:jc w:val="both"/>
              <w:rPr>
                <w:rFonts w:ascii="Bookman Old Style" w:hAnsi="Bookman Old Style"/>
                <w:b/>
              </w:rPr>
            </w:pPr>
            <w:r w:rsidRPr="00AC2C93">
              <w:rPr>
                <w:rFonts w:ascii="Bookman Old Style" w:hAnsi="Bookman Old Style"/>
              </w:rPr>
              <w:t>Régression linéaire</w:t>
            </w:r>
          </w:p>
        </w:tc>
      </w:tr>
      <w:tr w:rsidR="00AC2C93" w:rsidRPr="00AC2C93" w:rsidTr="004F3B4B">
        <w:tc>
          <w:tcPr>
            <w:tcW w:w="6345" w:type="dxa"/>
          </w:tcPr>
          <w:p w:rsidR="00AC2C93" w:rsidRPr="00AC2C93" w:rsidRDefault="00AC2C93" w:rsidP="004F3B4B">
            <w:pPr>
              <w:pStyle w:val="Paragraphedeliste"/>
              <w:numPr>
                <w:ilvl w:val="1"/>
                <w:numId w:val="42"/>
              </w:numPr>
              <w:jc w:val="both"/>
              <w:rPr>
                <w:rFonts w:ascii="Bookman Old Style" w:hAnsi="Bookman Old Style"/>
                <w:b/>
              </w:rPr>
            </w:pPr>
            <w:r w:rsidRPr="00AC2C93">
              <w:rPr>
                <w:rFonts w:ascii="Bookman Old Style" w:hAnsi="Bookman Old Style"/>
              </w:rPr>
              <w:t>Modèles de panel</w:t>
            </w:r>
          </w:p>
        </w:tc>
      </w:tr>
      <w:tr w:rsidR="00AC2C93" w:rsidRPr="00AC2C93" w:rsidTr="004F3B4B">
        <w:tc>
          <w:tcPr>
            <w:tcW w:w="6345" w:type="dxa"/>
          </w:tcPr>
          <w:p w:rsidR="00AC2C93" w:rsidRPr="00AC2C93" w:rsidRDefault="00AC2C93" w:rsidP="004F3B4B">
            <w:pPr>
              <w:pStyle w:val="Paragraphedeliste"/>
              <w:numPr>
                <w:ilvl w:val="1"/>
                <w:numId w:val="42"/>
              </w:numPr>
              <w:jc w:val="both"/>
              <w:rPr>
                <w:rFonts w:ascii="Bookman Old Style" w:hAnsi="Bookman Old Style"/>
                <w:b/>
              </w:rPr>
            </w:pPr>
            <w:r w:rsidRPr="00AC2C93">
              <w:rPr>
                <w:rFonts w:ascii="Bookman Old Style" w:hAnsi="Bookman Old Style"/>
              </w:rPr>
              <w:t>Modèles non-linéaires (</w:t>
            </w:r>
            <w:r w:rsidRPr="00AC2C93">
              <w:rPr>
                <w:rFonts w:ascii="Bookman Old Style" w:hAnsi="Bookman Old Style"/>
                <w:i/>
              </w:rPr>
              <w:t>logit</w:t>
            </w:r>
            <w:r w:rsidRPr="00AC2C93">
              <w:rPr>
                <w:rFonts w:ascii="Bookman Old Style" w:hAnsi="Bookman Old Style"/>
              </w:rPr>
              <w:t>-</w:t>
            </w:r>
            <w:r w:rsidRPr="00AC2C93">
              <w:rPr>
                <w:rFonts w:ascii="Bookman Old Style" w:hAnsi="Bookman Old Style"/>
                <w:i/>
              </w:rPr>
              <w:t>probit</w:t>
            </w:r>
            <w:r w:rsidRPr="00AC2C93">
              <w:rPr>
                <w:rFonts w:ascii="Bookman Old Style" w:hAnsi="Bookman Old Style"/>
              </w:rPr>
              <w:t>)</w:t>
            </w:r>
          </w:p>
        </w:tc>
      </w:tr>
      <w:tr w:rsidR="00AC2C93" w:rsidRPr="00AC2C93" w:rsidTr="004F3B4B">
        <w:tc>
          <w:tcPr>
            <w:tcW w:w="6345" w:type="dxa"/>
          </w:tcPr>
          <w:p w:rsidR="00AC2C93" w:rsidRPr="00AC2C93" w:rsidRDefault="00AC2C93" w:rsidP="004F3B4B">
            <w:pPr>
              <w:pStyle w:val="Paragraphedeliste"/>
              <w:numPr>
                <w:ilvl w:val="0"/>
                <w:numId w:val="42"/>
              </w:numPr>
              <w:jc w:val="both"/>
              <w:rPr>
                <w:rFonts w:ascii="Bookman Old Style" w:hAnsi="Bookman Old Style"/>
              </w:rPr>
            </w:pPr>
            <w:r w:rsidRPr="00AC2C93">
              <w:rPr>
                <w:rFonts w:ascii="Bookman Old Style" w:hAnsi="Bookman Old Style"/>
              </w:rPr>
              <w:t xml:space="preserve">Exportation des résultats vers Ms-Word et </w:t>
            </w:r>
            <w:r w:rsidRPr="00AC2C93">
              <w:rPr>
                <w:rFonts w:ascii="Bookman Old Style" w:hAnsi="Bookman Old Style"/>
                <w:i/>
              </w:rPr>
              <w:t>LateX</w:t>
            </w:r>
          </w:p>
          <w:p w:rsidR="00AC2C93" w:rsidRPr="00AC2C93" w:rsidRDefault="00AC2C93" w:rsidP="004F3B4B">
            <w:pPr>
              <w:ind w:left="360"/>
              <w:jc w:val="both"/>
              <w:rPr>
                <w:rFonts w:ascii="Bookman Old Style" w:hAnsi="Bookman Old Style"/>
              </w:rPr>
            </w:pPr>
            <w:r w:rsidRPr="00AC2C93">
              <w:rPr>
                <w:rFonts w:ascii="Bookman Old Style" w:hAnsi="Bookman Old Style"/>
              </w:rPr>
              <w:t>Pour aller plus loin : éléments de programmation</w:t>
            </w:r>
          </w:p>
        </w:tc>
      </w:tr>
    </w:tbl>
    <w:p w:rsidR="00070E5D" w:rsidRDefault="00070E5D" w:rsidP="00AC2C93">
      <w:pPr>
        <w:rPr>
          <w:rFonts w:ascii="Bookman Old Style" w:hAnsi="Bookman Old Style" w:cs="Times New Roman"/>
          <w:b/>
        </w:rPr>
      </w:pPr>
    </w:p>
    <w:p w:rsidR="002400A2" w:rsidRDefault="002400A2">
      <w:pPr>
        <w:rPr>
          <w:rFonts w:ascii="Bookman Old Style" w:hAnsi="Bookman Old Style" w:cs="Times New Roman"/>
          <w:b/>
        </w:rPr>
      </w:pPr>
      <w:r w:rsidRPr="00AE4E48">
        <w:rPr>
          <w:rFonts w:ascii="Bookman Old Style" w:hAnsi="Bookman Old Style"/>
          <w:b/>
        </w:rPr>
        <w:t>Contrôle des connaissances : examen écrit.</w:t>
      </w:r>
      <w:r>
        <w:rPr>
          <w:rFonts w:ascii="Bookman Old Style" w:hAnsi="Bookman Old Style" w:cs="Times New Roman"/>
          <w:b/>
        </w:rPr>
        <w:br w:type="page"/>
      </w:r>
    </w:p>
    <w:p w:rsidR="002400A2" w:rsidRDefault="002400A2" w:rsidP="00AC2C93">
      <w:pPr>
        <w:rPr>
          <w:rFonts w:ascii="Bookman Old Style" w:hAnsi="Bookman Old Style" w:cs="Times New Roman"/>
          <w:b/>
        </w:rPr>
      </w:pPr>
    </w:p>
    <w:p w:rsidR="00070E5D" w:rsidRPr="00ED563A" w:rsidRDefault="00070E5D" w:rsidP="00070E5D">
      <w:pPr>
        <w:pStyle w:val="contenutexte"/>
        <w:jc w:val="center"/>
        <w:rPr>
          <w:rStyle w:val="Livretpdagogiquetitre1Car"/>
          <w:rFonts w:ascii="Bookman Old Style" w:hAnsi="Bookman Old Style"/>
          <w:lang w:val="fr-FR"/>
        </w:rPr>
      </w:pPr>
      <w:r w:rsidRPr="00ED563A">
        <w:rPr>
          <w:rStyle w:val="Livretpdagogiquetitre1Car"/>
          <w:rFonts w:ascii="Bookman Old Style" w:hAnsi="Bookman Old Style"/>
          <w:lang w:val="fr-FR"/>
        </w:rPr>
        <w:t>CALENDRIER</w:t>
      </w:r>
      <w:r w:rsidRPr="00ED563A">
        <w:rPr>
          <w:rStyle w:val="Livretpdagogiquetitre1Car"/>
          <w:rFonts w:ascii="Bookman Old Style" w:eastAsia="Arial" w:hAnsi="Bookman Old Style"/>
          <w:lang w:val="fr-FR"/>
        </w:rPr>
        <w:t xml:space="preserve"> </w:t>
      </w:r>
      <w:r w:rsidRPr="00ED563A">
        <w:rPr>
          <w:rStyle w:val="Livretpdagogiquetitre1Car"/>
          <w:rFonts w:ascii="Bookman Old Style" w:hAnsi="Bookman Old Style"/>
          <w:lang w:val="fr-FR"/>
        </w:rPr>
        <w:t>201</w:t>
      </w:r>
      <w:r w:rsidR="007D7A32">
        <w:rPr>
          <w:rStyle w:val="Livretpdagogiquetitre1Car"/>
          <w:rFonts w:ascii="Bookman Old Style" w:hAnsi="Bookman Old Style"/>
          <w:lang w:val="fr-FR"/>
        </w:rPr>
        <w:t>6</w:t>
      </w:r>
      <w:r w:rsidRPr="00ED563A">
        <w:rPr>
          <w:rStyle w:val="Livretpdagogiquetitre1Car"/>
          <w:rFonts w:ascii="Bookman Old Style" w:eastAsia="Arial" w:hAnsi="Bookman Old Style"/>
          <w:lang w:val="fr-FR"/>
        </w:rPr>
        <w:t xml:space="preserve"> </w:t>
      </w:r>
      <w:r w:rsidRPr="00ED563A">
        <w:rPr>
          <w:rStyle w:val="Livretpdagogiquetitre1Car"/>
          <w:rFonts w:ascii="Bookman Old Style" w:hAnsi="Bookman Old Style"/>
          <w:lang w:val="fr-FR"/>
        </w:rPr>
        <w:t>–</w:t>
      </w:r>
      <w:r w:rsidRPr="00ED563A">
        <w:rPr>
          <w:rStyle w:val="Livretpdagogiquetitre1Car"/>
          <w:rFonts w:ascii="Bookman Old Style" w:eastAsia="Arial" w:hAnsi="Bookman Old Style"/>
          <w:lang w:val="fr-FR"/>
        </w:rPr>
        <w:t xml:space="preserve"> </w:t>
      </w:r>
      <w:r w:rsidRPr="00ED563A">
        <w:rPr>
          <w:rStyle w:val="Livretpdagogiquetitre1Car"/>
          <w:rFonts w:ascii="Bookman Old Style" w:hAnsi="Bookman Old Style"/>
          <w:lang w:val="fr-FR"/>
        </w:rPr>
        <w:t>201</w:t>
      </w:r>
      <w:r w:rsidR="007D7A32">
        <w:rPr>
          <w:rStyle w:val="Livretpdagogiquetitre1Car"/>
          <w:rFonts w:ascii="Bookman Old Style" w:hAnsi="Bookman Old Style"/>
          <w:lang w:val="fr-FR"/>
        </w:rPr>
        <w:t>7</w:t>
      </w:r>
    </w:p>
    <w:p w:rsidR="00070E5D" w:rsidRDefault="00070E5D" w:rsidP="00070E5D">
      <w:pPr>
        <w:pStyle w:val="contenutexte"/>
        <w:jc w:val="center"/>
        <w:rPr>
          <w:rStyle w:val="Livretpdagogiquetitre1Car"/>
          <w:lang w:val="fr-FR"/>
        </w:rPr>
      </w:pPr>
    </w:p>
    <w:p w:rsidR="00070E5D" w:rsidRDefault="00070E5D" w:rsidP="00070E5D">
      <w:pPr>
        <w:pStyle w:val="contenutexte"/>
        <w:jc w:val="center"/>
        <w:rPr>
          <w:rStyle w:val="Livretpdagogiquetitre1Car"/>
          <w:lang w:val="fr-FR"/>
        </w:rPr>
      </w:pPr>
    </w:p>
    <w:p w:rsidR="00070E5D" w:rsidRDefault="00070E5D" w:rsidP="00070E5D">
      <w:pPr>
        <w:autoSpaceDE w:val="0"/>
        <w:autoSpaceDN w:val="0"/>
        <w:adjustRightInd w:val="0"/>
        <w:spacing w:after="0" w:line="240" w:lineRule="auto"/>
        <w:rPr>
          <w:b/>
          <w:bCs/>
          <w:color w:val="000000"/>
          <w:sz w:val="28"/>
        </w:rPr>
      </w:pPr>
    </w:p>
    <w:p w:rsidR="00070E5D" w:rsidRDefault="00070E5D" w:rsidP="00070E5D">
      <w:pPr>
        <w:rPr>
          <w:b/>
          <w:bCs/>
          <w:color w:val="000000"/>
          <w:sz w:val="28"/>
        </w:rPr>
      </w:pPr>
      <w:r>
        <w:rPr>
          <w:b/>
          <w:bCs/>
          <w:color w:val="000000"/>
          <w:sz w:val="28"/>
        </w:rPr>
        <w:br w:type="page"/>
      </w:r>
    </w:p>
    <w:p w:rsidR="00070E5D" w:rsidRPr="00395DBC" w:rsidRDefault="00070E5D" w:rsidP="00070E5D">
      <w:pPr>
        <w:autoSpaceDE w:val="0"/>
        <w:autoSpaceDN w:val="0"/>
        <w:adjustRightInd w:val="0"/>
        <w:spacing w:after="0" w:line="240" w:lineRule="auto"/>
        <w:rPr>
          <w:rFonts w:ascii="Bookman Old Style" w:hAnsi="Bookman Old Style"/>
          <w:b/>
          <w:bCs/>
          <w:color w:val="000000"/>
          <w:sz w:val="28"/>
        </w:rPr>
      </w:pPr>
      <w:r w:rsidRPr="00395DBC">
        <w:rPr>
          <w:rFonts w:ascii="Bookman Old Style" w:hAnsi="Bookman Old Style"/>
          <w:b/>
          <w:bCs/>
          <w:color w:val="000000"/>
          <w:sz w:val="28"/>
        </w:rPr>
        <w:lastRenderedPageBreak/>
        <w:t>8. Charte du Savoir Vivre Ensemble.</w:t>
      </w:r>
    </w:p>
    <w:p w:rsidR="00070E5D" w:rsidRPr="00395DBC" w:rsidRDefault="00070E5D" w:rsidP="00070E5D">
      <w:pPr>
        <w:autoSpaceDE w:val="0"/>
        <w:autoSpaceDN w:val="0"/>
        <w:adjustRightInd w:val="0"/>
        <w:spacing w:before="120" w:line="240" w:lineRule="auto"/>
        <w:jc w:val="both"/>
        <w:rPr>
          <w:rFonts w:ascii="Bookman Old Style" w:hAnsi="Bookman Old Style"/>
          <w:b/>
          <w:color w:val="000000"/>
        </w:rPr>
      </w:pPr>
      <w:r w:rsidRPr="00395DBC">
        <w:rPr>
          <w:rFonts w:ascii="Bookman Old Style" w:hAnsi="Bookman Old Style"/>
          <w:b/>
          <w:color w:val="000000"/>
        </w:rPr>
        <w:t>Séance du CA du 07 avril 2014</w:t>
      </w:r>
    </w:p>
    <w:p w:rsidR="00070E5D" w:rsidRPr="00395DBC" w:rsidRDefault="00070E5D" w:rsidP="00070E5D">
      <w:pPr>
        <w:autoSpaceDE w:val="0"/>
        <w:autoSpaceDN w:val="0"/>
        <w:adjustRightInd w:val="0"/>
        <w:spacing w:before="120" w:line="240" w:lineRule="auto"/>
        <w:jc w:val="both"/>
        <w:rPr>
          <w:rFonts w:ascii="Bookman Old Style" w:hAnsi="Bookman Old Style"/>
          <w:color w:val="000000"/>
        </w:rPr>
      </w:pPr>
      <w:r w:rsidRPr="00395DBC">
        <w:rPr>
          <w:rFonts w:ascii="Bookman Old Style" w:hAnsi="Bookman Old Style"/>
          <w:color w:val="000000"/>
        </w:rPr>
        <w:t>L'Université Paris Ouest Nanterre la Défense est un établissement public à caractère scientifique, culturel et professionnel (EPCSCP) régi par les articles L. 711-1 et suivants du Code de l'éducation. La communauté universitaire se compose d’étudiant-e-s et de personnel répartis sur les sites de Nanterre, Ville d'Avray, Saint-Cloud et la Défense. Le fonctionnement harmonieux de notre Université exige que chacun-e respecte les règles du savoir-vivre ensemble rappelées dans la présente charte.</w:t>
      </w:r>
    </w:p>
    <w:p w:rsidR="00070E5D" w:rsidRPr="00395DBC" w:rsidRDefault="00070E5D" w:rsidP="00070E5D">
      <w:pPr>
        <w:autoSpaceDE w:val="0"/>
        <w:autoSpaceDN w:val="0"/>
        <w:adjustRightInd w:val="0"/>
        <w:spacing w:before="120" w:line="240" w:lineRule="auto"/>
        <w:jc w:val="both"/>
        <w:rPr>
          <w:rFonts w:ascii="Bookman Old Style" w:hAnsi="Bookman Old Style"/>
          <w:b/>
          <w:bCs/>
          <w:color w:val="000000"/>
        </w:rPr>
      </w:pPr>
      <w:r w:rsidRPr="00395DBC">
        <w:rPr>
          <w:rFonts w:ascii="Bookman Old Style" w:hAnsi="Bookman Old Style"/>
          <w:b/>
          <w:bCs/>
          <w:color w:val="000000"/>
        </w:rPr>
        <w:t>Egalité et non-discrimination</w:t>
      </w:r>
    </w:p>
    <w:p w:rsidR="00070E5D" w:rsidRPr="00395DBC" w:rsidRDefault="00070E5D" w:rsidP="00070E5D">
      <w:pPr>
        <w:autoSpaceDE w:val="0"/>
        <w:autoSpaceDN w:val="0"/>
        <w:adjustRightInd w:val="0"/>
        <w:spacing w:before="120" w:line="240" w:lineRule="auto"/>
        <w:jc w:val="both"/>
        <w:rPr>
          <w:rFonts w:ascii="Bookman Old Style" w:hAnsi="Bookman Old Style"/>
          <w:color w:val="000000"/>
        </w:rPr>
      </w:pPr>
      <w:r w:rsidRPr="00395DBC">
        <w:rPr>
          <w:rFonts w:ascii="Bookman Old Style" w:hAnsi="Bookman Old Style"/>
          <w:color w:val="000000"/>
        </w:rPr>
        <w:t>Le fonctionnement de l'Université et la réussite de chacun-e s'enrichissent de la singularité des personnes qui composent notre communauté.</w:t>
      </w:r>
    </w:p>
    <w:p w:rsidR="00070E5D" w:rsidRPr="00395DBC" w:rsidRDefault="00070E5D" w:rsidP="00070E5D">
      <w:pPr>
        <w:autoSpaceDE w:val="0"/>
        <w:autoSpaceDN w:val="0"/>
        <w:adjustRightInd w:val="0"/>
        <w:spacing w:before="120" w:line="240" w:lineRule="auto"/>
        <w:jc w:val="both"/>
        <w:rPr>
          <w:rFonts w:ascii="Bookman Old Style" w:hAnsi="Bookman Old Style"/>
          <w:color w:val="000000"/>
        </w:rPr>
      </w:pPr>
      <w:r w:rsidRPr="00395DBC">
        <w:rPr>
          <w:rFonts w:ascii="Bookman Old Style" w:hAnsi="Bookman Old Style"/>
          <w:color w:val="000000"/>
        </w:rPr>
        <w:t>Toute discrimination, notamment sur le sexe, l'origine, l'âge, l'état de santé, l’apparence, le handicap, l'appartenance religieuse, la situation de famille, l'orientation sexuelle, les opinions politiques ou syndicales, est prohibée.</w:t>
      </w:r>
    </w:p>
    <w:p w:rsidR="00070E5D" w:rsidRPr="00395DBC" w:rsidRDefault="00070E5D" w:rsidP="00070E5D">
      <w:pPr>
        <w:autoSpaceDE w:val="0"/>
        <w:autoSpaceDN w:val="0"/>
        <w:adjustRightInd w:val="0"/>
        <w:spacing w:before="120" w:line="240" w:lineRule="auto"/>
        <w:jc w:val="both"/>
        <w:rPr>
          <w:rFonts w:ascii="Bookman Old Style" w:hAnsi="Bookman Old Style"/>
          <w:color w:val="000000"/>
        </w:rPr>
      </w:pPr>
      <w:r w:rsidRPr="00395DBC">
        <w:rPr>
          <w:rFonts w:ascii="Bookman Old Style" w:hAnsi="Bookman Old Style"/>
          <w:color w:val="000000"/>
        </w:rPr>
        <w:t>L'Université promeut l'égalité entre les femmes et les hommes et lutte contre les stéréotypes de genre.</w:t>
      </w:r>
    </w:p>
    <w:p w:rsidR="00070E5D" w:rsidRPr="00395DBC" w:rsidRDefault="00070E5D" w:rsidP="00070E5D">
      <w:pPr>
        <w:autoSpaceDE w:val="0"/>
        <w:autoSpaceDN w:val="0"/>
        <w:adjustRightInd w:val="0"/>
        <w:spacing w:before="120" w:line="240" w:lineRule="auto"/>
        <w:jc w:val="both"/>
        <w:rPr>
          <w:rFonts w:ascii="Bookman Old Style" w:hAnsi="Bookman Old Style"/>
          <w:b/>
          <w:bCs/>
          <w:color w:val="000000"/>
        </w:rPr>
      </w:pPr>
      <w:r w:rsidRPr="00395DBC">
        <w:rPr>
          <w:rFonts w:ascii="Bookman Old Style" w:hAnsi="Bookman Old Style"/>
          <w:b/>
          <w:bCs/>
          <w:color w:val="000000"/>
        </w:rPr>
        <w:t>Laïcité</w:t>
      </w:r>
    </w:p>
    <w:p w:rsidR="00070E5D" w:rsidRPr="00395DBC" w:rsidRDefault="00070E5D" w:rsidP="00070E5D">
      <w:pPr>
        <w:autoSpaceDE w:val="0"/>
        <w:autoSpaceDN w:val="0"/>
        <w:adjustRightInd w:val="0"/>
        <w:spacing w:before="120" w:line="240" w:lineRule="auto"/>
        <w:jc w:val="both"/>
        <w:rPr>
          <w:rFonts w:ascii="Bookman Old Style" w:hAnsi="Bookman Old Style"/>
          <w:color w:val="000000"/>
        </w:rPr>
      </w:pPr>
      <w:r w:rsidRPr="00395DBC">
        <w:rPr>
          <w:rFonts w:ascii="Bookman Old Style" w:hAnsi="Bookman Old Style"/>
          <w:color w:val="000000"/>
        </w:rPr>
        <w:t>Conformément au principe constitutionnel de laïcité, rappelé par l'article L. 141-6 du Code de l'éducation, l'Université Paris Ouest Nanterre la Défense est un établissement laïque et indépendant de toute emprise religieuse ou idéologique.</w:t>
      </w:r>
    </w:p>
    <w:p w:rsidR="00070E5D" w:rsidRPr="00395DBC" w:rsidRDefault="00070E5D" w:rsidP="00070E5D">
      <w:pPr>
        <w:autoSpaceDE w:val="0"/>
        <w:autoSpaceDN w:val="0"/>
        <w:adjustRightInd w:val="0"/>
        <w:spacing w:before="120" w:line="240" w:lineRule="auto"/>
        <w:jc w:val="both"/>
        <w:rPr>
          <w:rFonts w:ascii="Bookman Old Style" w:hAnsi="Bookman Old Style"/>
          <w:color w:val="000000"/>
        </w:rPr>
      </w:pPr>
      <w:r w:rsidRPr="00395DBC">
        <w:rPr>
          <w:rFonts w:ascii="Bookman Old Style" w:hAnsi="Bookman Old Style"/>
          <w:color w:val="000000"/>
        </w:rPr>
        <w:t>Le campus de l'Université et les activités qui y sont menées doivent respecter l'exigence de neutralité des services publics. Les agents de l'Université ne doivent porter aucun signe religieux ostentatoire.</w:t>
      </w:r>
    </w:p>
    <w:p w:rsidR="00070E5D" w:rsidRPr="00395DBC" w:rsidRDefault="00070E5D" w:rsidP="00070E5D">
      <w:pPr>
        <w:autoSpaceDE w:val="0"/>
        <w:autoSpaceDN w:val="0"/>
        <w:adjustRightInd w:val="0"/>
        <w:spacing w:before="120" w:line="240" w:lineRule="auto"/>
        <w:jc w:val="both"/>
        <w:rPr>
          <w:rFonts w:ascii="Bookman Old Style" w:hAnsi="Bookman Old Style"/>
          <w:color w:val="000000"/>
        </w:rPr>
      </w:pPr>
      <w:r w:rsidRPr="00395DBC">
        <w:rPr>
          <w:rFonts w:ascii="Bookman Old Style" w:hAnsi="Bookman Old Style"/>
          <w:color w:val="000000"/>
        </w:rPr>
        <w:t>Les cours, les examens et l’organisation des services respectent strictement le calendrier national et ses règles d’application fixés par le Ministère de l’Enseignement Supérieur et de la Recherche.</w:t>
      </w:r>
    </w:p>
    <w:p w:rsidR="00070E5D" w:rsidRPr="00395DBC" w:rsidRDefault="00070E5D" w:rsidP="00070E5D">
      <w:pPr>
        <w:autoSpaceDE w:val="0"/>
        <w:autoSpaceDN w:val="0"/>
        <w:adjustRightInd w:val="0"/>
        <w:spacing w:before="120" w:line="240" w:lineRule="auto"/>
        <w:jc w:val="both"/>
        <w:rPr>
          <w:rFonts w:ascii="Bookman Old Style" w:hAnsi="Bookman Old Style"/>
          <w:b/>
          <w:bCs/>
          <w:color w:val="000000"/>
        </w:rPr>
      </w:pPr>
      <w:r w:rsidRPr="00395DBC">
        <w:rPr>
          <w:rFonts w:ascii="Bookman Old Style" w:hAnsi="Bookman Old Style"/>
          <w:b/>
          <w:bCs/>
          <w:color w:val="000000"/>
        </w:rPr>
        <w:t>Liberté d'expression et d'opinion</w:t>
      </w:r>
    </w:p>
    <w:p w:rsidR="00070E5D" w:rsidRPr="00395DBC" w:rsidRDefault="00070E5D" w:rsidP="00070E5D">
      <w:pPr>
        <w:autoSpaceDE w:val="0"/>
        <w:autoSpaceDN w:val="0"/>
        <w:adjustRightInd w:val="0"/>
        <w:spacing w:before="120" w:line="240" w:lineRule="auto"/>
        <w:jc w:val="both"/>
        <w:rPr>
          <w:rFonts w:ascii="Bookman Old Style" w:hAnsi="Bookman Old Style"/>
          <w:color w:val="000000"/>
        </w:rPr>
      </w:pPr>
      <w:r w:rsidRPr="00395DBC">
        <w:rPr>
          <w:rFonts w:ascii="Bookman Old Style" w:hAnsi="Bookman Old Style"/>
          <w:color w:val="000000"/>
        </w:rPr>
        <w:t>L'enseignement et la recherche visent au libre développement scientifique, créateur et critique, dans le respect de la liberté d'expression et d'opinion. L'exercice de la liberté d'expression doit être respectueuse d'autrui et être exempte de tout abus relevant de la diffamation et de l'injure (outrance,mépris, invective). Elle ne saurait porter atteinte aux différentes missions de l'Université.</w:t>
      </w:r>
    </w:p>
    <w:p w:rsidR="00070E5D" w:rsidRPr="00395DBC" w:rsidRDefault="00070E5D" w:rsidP="00070E5D">
      <w:pPr>
        <w:autoSpaceDE w:val="0"/>
        <w:autoSpaceDN w:val="0"/>
        <w:adjustRightInd w:val="0"/>
        <w:spacing w:before="120" w:line="240" w:lineRule="auto"/>
        <w:jc w:val="both"/>
        <w:rPr>
          <w:rFonts w:ascii="Bookman Old Style" w:hAnsi="Bookman Old Style"/>
          <w:color w:val="000000"/>
        </w:rPr>
      </w:pPr>
      <w:r w:rsidRPr="00395DBC">
        <w:rPr>
          <w:rFonts w:ascii="Bookman Old Style" w:hAnsi="Bookman Old Style"/>
          <w:color w:val="000000"/>
        </w:rPr>
        <w:t>La participation démocratique est essentielle à la vie de l'établissement. Des élections sont organisées pour les étudiant-e-s et les personnels, permettant la participation de tout-e-s aux choix et décisions de l'Université.</w:t>
      </w:r>
    </w:p>
    <w:p w:rsidR="00070E5D" w:rsidRPr="00395DBC" w:rsidRDefault="00070E5D" w:rsidP="00070E5D">
      <w:pPr>
        <w:autoSpaceDE w:val="0"/>
        <w:autoSpaceDN w:val="0"/>
        <w:adjustRightInd w:val="0"/>
        <w:spacing w:before="120" w:line="240" w:lineRule="auto"/>
        <w:jc w:val="both"/>
        <w:rPr>
          <w:rFonts w:ascii="Bookman Old Style" w:hAnsi="Bookman Old Style"/>
          <w:b/>
          <w:bCs/>
          <w:color w:val="000000"/>
        </w:rPr>
      </w:pPr>
      <w:r w:rsidRPr="00395DBC">
        <w:rPr>
          <w:rFonts w:ascii="Bookman Old Style" w:hAnsi="Bookman Old Style"/>
          <w:b/>
          <w:bCs/>
          <w:color w:val="000000"/>
        </w:rPr>
        <w:t>Respect des personnes et de l'environnement</w:t>
      </w:r>
    </w:p>
    <w:p w:rsidR="00070E5D" w:rsidRPr="00395DBC" w:rsidRDefault="00070E5D" w:rsidP="00070E5D">
      <w:pPr>
        <w:autoSpaceDE w:val="0"/>
        <w:autoSpaceDN w:val="0"/>
        <w:adjustRightInd w:val="0"/>
        <w:spacing w:before="120" w:line="240" w:lineRule="auto"/>
        <w:jc w:val="both"/>
        <w:rPr>
          <w:rFonts w:ascii="Bookman Old Style" w:hAnsi="Bookman Old Style"/>
          <w:color w:val="000000"/>
        </w:rPr>
      </w:pPr>
      <w:r w:rsidRPr="00395DBC">
        <w:rPr>
          <w:rFonts w:ascii="Bookman Old Style" w:hAnsi="Bookman Old Style"/>
          <w:color w:val="000000"/>
        </w:rPr>
        <w:t>Chacun-e doit travailler dans un esprit de respect mutuel excluant toute forme de harcèlement moral ou sexuel, de menaces, de violences physiques ou verbales, et toute autre forme de domination ou d’exclusion.</w:t>
      </w:r>
    </w:p>
    <w:p w:rsidR="00070E5D" w:rsidRPr="00395DBC" w:rsidRDefault="00070E5D" w:rsidP="00070E5D">
      <w:pPr>
        <w:autoSpaceDE w:val="0"/>
        <w:autoSpaceDN w:val="0"/>
        <w:adjustRightInd w:val="0"/>
        <w:spacing w:before="120" w:line="240" w:lineRule="auto"/>
        <w:jc w:val="both"/>
        <w:rPr>
          <w:rFonts w:ascii="Bookman Old Style" w:hAnsi="Bookman Old Style"/>
          <w:color w:val="000000"/>
        </w:rPr>
      </w:pPr>
      <w:r w:rsidRPr="00395DBC">
        <w:rPr>
          <w:rFonts w:ascii="Bookman Old Style" w:hAnsi="Bookman Old Style"/>
          <w:color w:val="000000"/>
        </w:rPr>
        <w:lastRenderedPageBreak/>
        <w:t>Chacun-e doit respecter l'environnement de travail sur l'ensemble des sites de l'Université. Le respect des règles d'hygiène et de sécurité et la recherche d'un développement durable sur le campus garantissent un environnement respectueux du bien-être de chacun-e.</w:t>
      </w:r>
    </w:p>
    <w:p w:rsidR="00070E5D" w:rsidRPr="00395DBC" w:rsidRDefault="00070E5D" w:rsidP="00070E5D">
      <w:pPr>
        <w:autoSpaceDE w:val="0"/>
        <w:autoSpaceDN w:val="0"/>
        <w:adjustRightInd w:val="0"/>
        <w:spacing w:before="120" w:line="240" w:lineRule="auto"/>
        <w:jc w:val="both"/>
        <w:rPr>
          <w:rFonts w:ascii="Bookman Old Style" w:hAnsi="Bookman Old Style"/>
          <w:color w:val="000000"/>
        </w:rPr>
      </w:pPr>
      <w:r w:rsidRPr="00395DBC">
        <w:rPr>
          <w:rFonts w:ascii="Bookman Old Style" w:hAnsi="Bookman Old Style"/>
          <w:color w:val="000000"/>
        </w:rPr>
        <w:t>Les tags, graffitis, affichages sauvages et jets de détritus constituent une dégradation volontaire de l'environnement de travail et sont prohibés. Les détritus doivent être déposés dans les endroits idoines.</w:t>
      </w:r>
    </w:p>
    <w:p w:rsidR="00070E5D" w:rsidRPr="00395DBC" w:rsidRDefault="00070E5D" w:rsidP="00070E5D">
      <w:pPr>
        <w:autoSpaceDE w:val="0"/>
        <w:autoSpaceDN w:val="0"/>
        <w:adjustRightInd w:val="0"/>
        <w:spacing w:before="120" w:line="240" w:lineRule="auto"/>
        <w:jc w:val="both"/>
        <w:rPr>
          <w:rFonts w:ascii="Bookman Old Style" w:hAnsi="Bookman Old Style"/>
          <w:color w:val="000000"/>
        </w:rPr>
      </w:pPr>
      <w:r w:rsidRPr="00395DBC">
        <w:rPr>
          <w:rFonts w:ascii="Bookman Old Style" w:hAnsi="Bookman Old Style"/>
          <w:color w:val="000000"/>
        </w:rPr>
        <w:t>L'ensemble de la communauté universitaire se mobilise afin de garantir le respect des principes édictés dans la présente Charte. Les contrevenant-e-s aux règles énoncées dans la présente charte s'exposent à des sanctions disciplinaires, conformément aux dispositions légales et réglementaires en vigueur.</w:t>
      </w:r>
    </w:p>
    <w:p w:rsidR="00070E5D" w:rsidRPr="00395DBC" w:rsidRDefault="00070E5D" w:rsidP="00070E5D">
      <w:pPr>
        <w:autoSpaceDE w:val="0"/>
        <w:autoSpaceDN w:val="0"/>
        <w:adjustRightInd w:val="0"/>
        <w:spacing w:before="120" w:line="240" w:lineRule="auto"/>
        <w:jc w:val="both"/>
        <w:rPr>
          <w:rFonts w:ascii="Bookman Old Style" w:hAnsi="Bookman Old Style"/>
          <w:color w:val="000000"/>
        </w:rPr>
      </w:pPr>
      <w:r w:rsidRPr="00395DBC">
        <w:rPr>
          <w:rFonts w:ascii="Bookman Old Style" w:hAnsi="Bookman Old Style"/>
          <w:color w:val="000000"/>
        </w:rPr>
        <w:t>En cas de difficulté concernant l’application des règles du savoir-vivre ensemble, des instances et services de l'Université sont à votre disposition (le comité d'hygiène, sécurité et condition de travail, la direction des ressources humaines, le service de médecine préventive, le service d’action sociale, les organisations syndicales, les instances paritaires comme les instances élues de l'Université).</w:t>
      </w:r>
    </w:p>
    <w:p w:rsidR="00070E5D" w:rsidRPr="00395DBC" w:rsidRDefault="00070E5D" w:rsidP="00070E5D">
      <w:pPr>
        <w:jc w:val="both"/>
        <w:rPr>
          <w:rFonts w:ascii="Bookman Old Style" w:hAnsi="Bookman Old Style"/>
        </w:rPr>
      </w:pPr>
      <w:r w:rsidRPr="00395DBC">
        <w:rPr>
          <w:rFonts w:ascii="Bookman Old Style" w:hAnsi="Bookman Old Style"/>
          <w:color w:val="000000"/>
        </w:rPr>
        <w:t xml:space="preserve">Vous pouvez également envoyer un courriel à l'adresse </w:t>
      </w:r>
      <w:r w:rsidRPr="00395DBC">
        <w:rPr>
          <w:rFonts w:ascii="Bookman Old Style" w:hAnsi="Bookman Old Style"/>
          <w:color w:val="0000FF"/>
        </w:rPr>
        <w:t>vivre-ensemble@u-paris10.fr</w:t>
      </w:r>
      <w:r w:rsidRPr="00395DBC">
        <w:rPr>
          <w:rFonts w:ascii="Bookman Old Style" w:hAnsi="Bookman Old Style"/>
          <w:color w:val="000000"/>
        </w:rPr>
        <w:t>.</w:t>
      </w:r>
    </w:p>
    <w:p w:rsidR="00070E5D" w:rsidRPr="00395DBC" w:rsidRDefault="00070E5D" w:rsidP="00070E5D">
      <w:pPr>
        <w:spacing w:before="120" w:line="240" w:lineRule="auto"/>
        <w:jc w:val="both"/>
        <w:rPr>
          <w:rFonts w:ascii="Bookman Old Style" w:hAnsi="Bookman Old Style"/>
          <w:bCs/>
          <w:lang w:bidi="fr-FR"/>
        </w:rPr>
      </w:pPr>
    </w:p>
    <w:p w:rsidR="00070E5D" w:rsidRPr="00395DBC" w:rsidRDefault="00070E5D" w:rsidP="00070E5D">
      <w:pPr>
        <w:jc w:val="both"/>
        <w:rPr>
          <w:rFonts w:ascii="Bookman Old Style" w:hAnsi="Bookman Old Style"/>
          <w:b/>
          <w:sz w:val="28"/>
          <w:szCs w:val="28"/>
        </w:rPr>
      </w:pPr>
      <w:bookmarkStart w:id="1" w:name="_Toc378340150"/>
      <w:r w:rsidRPr="00395DBC">
        <w:rPr>
          <w:rFonts w:ascii="Bookman Old Style" w:hAnsi="Bookman Old Style"/>
          <w:b/>
          <w:sz w:val="28"/>
          <w:szCs w:val="28"/>
        </w:rPr>
        <w:t>9 - Modalités de contrôle des connaissances et des compétences 2014-2018</w:t>
      </w:r>
    </w:p>
    <w:p w:rsidR="00070E5D" w:rsidRPr="00395DBC" w:rsidRDefault="00070E5D" w:rsidP="00070E5D">
      <w:pPr>
        <w:ind w:left="709"/>
        <w:jc w:val="both"/>
        <w:rPr>
          <w:rFonts w:ascii="Bookman Old Style" w:hAnsi="Bookman Old Style" w:cs="Arial"/>
          <w:iCs/>
        </w:rPr>
      </w:pPr>
      <w:r w:rsidRPr="00395DBC">
        <w:rPr>
          <w:rFonts w:ascii="Bookman Old Style" w:hAnsi="Bookman Old Style" w:cs="Arial"/>
          <w:iCs/>
        </w:rPr>
        <w:t xml:space="preserve">Modalités approuvées par le CEVU du 30 juin 2014 </w:t>
      </w:r>
    </w:p>
    <w:p w:rsidR="00070E5D" w:rsidRPr="00395DBC" w:rsidRDefault="00070E5D" w:rsidP="00070E5D">
      <w:pPr>
        <w:pStyle w:val="Titre1"/>
        <w:tabs>
          <w:tab w:val="left" w:pos="0"/>
        </w:tabs>
        <w:suppressAutoHyphens/>
        <w:spacing w:before="120" w:after="120"/>
        <w:jc w:val="both"/>
        <w:rPr>
          <w:rFonts w:ascii="Bookman Old Style" w:hAnsi="Bookman Old Style"/>
          <w:b w:val="0"/>
          <w:sz w:val="20"/>
          <w:szCs w:val="20"/>
        </w:rPr>
      </w:pPr>
      <w:r w:rsidRPr="00395DBC">
        <w:rPr>
          <w:rFonts w:ascii="Bookman Old Style" w:hAnsi="Bookman Old Style"/>
          <w:b w:val="0"/>
          <w:sz w:val="20"/>
          <w:szCs w:val="20"/>
        </w:rPr>
        <w:t xml:space="preserve">Pour chaque diplôme de licence ou de master, les informations concernant les modalités de contrôle des connaissances et des compétences sont adoptées en Conseil d’UFR et transmises au Conseil des Études et de la Vie Universitaire (CEVU), avant d’être validées par le Conseil d’Administration (CA), ce avant le commencement de l’année universitaire. Ces informations concernant les modalités de contrôle figurent dans la brochure présentant les contenus d’enseignement de chaque diplôme. Des rectifications, pour répondre à des situations particulières liées aux changements des textes réglementaires relatifs aux diplômes de Licence et Master, peuvent être proposées par les UFR pour adoption par les instances de l’université </w:t>
      </w:r>
      <w:r w:rsidRPr="00395DBC">
        <w:rPr>
          <w:rFonts w:ascii="Bookman Old Style" w:hAnsi="Bookman Old Style"/>
          <w:sz w:val="20"/>
          <w:szCs w:val="20"/>
        </w:rPr>
        <w:t xml:space="preserve">au plus tard avant la fin du premier mois d’enseignement suivant le début </w:t>
      </w:r>
      <w:r w:rsidRPr="00395DBC">
        <w:rPr>
          <w:rFonts w:ascii="Bookman Old Style" w:hAnsi="Bookman Old Style"/>
          <w:b w:val="0"/>
          <w:sz w:val="20"/>
          <w:szCs w:val="20"/>
        </w:rPr>
        <w:t>de l’année universitaire.</w:t>
      </w:r>
    </w:p>
    <w:p w:rsidR="00070E5D" w:rsidRPr="00395DBC" w:rsidRDefault="00070E5D" w:rsidP="00070E5D">
      <w:pPr>
        <w:pStyle w:val="Blocdecitation"/>
        <w:spacing w:before="120"/>
        <w:ind w:right="0"/>
        <w:jc w:val="both"/>
        <w:rPr>
          <w:rFonts w:ascii="Bookman Old Style" w:hAnsi="Bookman Old Style" w:cs="Arial"/>
          <w:bCs/>
          <w:i w:val="0"/>
        </w:rPr>
      </w:pPr>
      <w:r w:rsidRPr="00395DBC">
        <w:rPr>
          <w:rFonts w:ascii="Bookman Old Style" w:hAnsi="Bookman Old Style" w:cs="Arial"/>
          <w:bCs/>
          <w:i w:val="0"/>
        </w:rPr>
        <w:t xml:space="preserve">L’exposé des formules de contrôle des connaissances et des compétences </w:t>
      </w:r>
      <w:r w:rsidRPr="00395DBC">
        <w:rPr>
          <w:rFonts w:ascii="Bookman Old Style" w:hAnsi="Bookman Old Style" w:cs="Arial"/>
          <w:bCs/>
          <w:i w:val="0"/>
          <w:iCs/>
        </w:rPr>
        <w:t>décrit, pour chaque étudiant et pour chaque étape de diplôme, les modalités générales de son évaluation.</w:t>
      </w:r>
      <w:r w:rsidRPr="00395DBC">
        <w:rPr>
          <w:rFonts w:ascii="Bookman Old Style" w:hAnsi="Bookman Old Style" w:cs="Arial"/>
          <w:bCs/>
        </w:rPr>
        <w:t xml:space="preserve"> </w:t>
      </w:r>
    </w:p>
    <w:p w:rsidR="00070E5D" w:rsidRPr="00395DBC" w:rsidRDefault="00070E5D" w:rsidP="00070E5D">
      <w:pPr>
        <w:pStyle w:val="Blocdecitation"/>
        <w:spacing w:before="120"/>
        <w:ind w:right="0"/>
        <w:jc w:val="both"/>
        <w:rPr>
          <w:rFonts w:ascii="Bookman Old Style" w:hAnsi="Bookman Old Style" w:cs="Arial"/>
          <w:bCs/>
        </w:rPr>
      </w:pPr>
    </w:p>
    <w:p w:rsidR="00070E5D" w:rsidRPr="00395DBC" w:rsidRDefault="00070E5D" w:rsidP="00070E5D">
      <w:pPr>
        <w:pStyle w:val="Blocdecitation"/>
        <w:spacing w:before="120"/>
        <w:ind w:right="0"/>
        <w:jc w:val="both"/>
        <w:rPr>
          <w:rFonts w:ascii="Bookman Old Style" w:hAnsi="Bookman Old Style" w:cs="Arial"/>
          <w:bCs/>
        </w:rPr>
      </w:pPr>
      <w:r w:rsidRPr="00395DBC">
        <w:rPr>
          <w:rFonts w:ascii="Bookman Old Style" w:hAnsi="Bookman Old Style" w:cs="Arial"/>
          <w:bCs/>
        </w:rPr>
        <w:t>Trois formules peuvent être appliquées :</w:t>
      </w:r>
    </w:p>
    <w:p w:rsidR="00070E5D" w:rsidRPr="00395DBC" w:rsidRDefault="00070E5D" w:rsidP="00070E5D">
      <w:pPr>
        <w:pStyle w:val="Corpsdetexte"/>
        <w:numPr>
          <w:ilvl w:val="0"/>
          <w:numId w:val="39"/>
        </w:numPr>
        <w:suppressAutoHyphens/>
        <w:spacing w:before="120" w:line="240" w:lineRule="auto"/>
        <w:jc w:val="both"/>
        <w:rPr>
          <w:rFonts w:ascii="Bookman Old Style" w:hAnsi="Bookman Old Style" w:cs="Arial"/>
          <w:b/>
        </w:rPr>
      </w:pPr>
      <w:r w:rsidRPr="00395DBC">
        <w:rPr>
          <w:rFonts w:ascii="Bookman Old Style" w:hAnsi="Bookman Old Style" w:cs="Arial"/>
          <w:b/>
        </w:rPr>
        <w:t>La formule standard de contrôle des connaissances et des compétences :</w:t>
      </w:r>
    </w:p>
    <w:p w:rsidR="00070E5D" w:rsidRPr="00395DBC" w:rsidRDefault="00070E5D" w:rsidP="00070E5D">
      <w:pPr>
        <w:spacing w:before="120"/>
        <w:ind w:firstLine="360"/>
        <w:jc w:val="both"/>
        <w:rPr>
          <w:rFonts w:ascii="Bookman Old Style" w:hAnsi="Bookman Old Style" w:cs="Arial"/>
          <w:bCs/>
          <w:sz w:val="20"/>
        </w:rPr>
      </w:pPr>
      <w:r w:rsidRPr="00395DBC">
        <w:rPr>
          <w:rFonts w:ascii="Bookman Old Style" w:hAnsi="Bookman Old Style" w:cs="Arial"/>
          <w:bCs/>
          <w:sz w:val="20"/>
        </w:rPr>
        <w:t xml:space="preserve">Elle s’applique à tous les étudiants inscrits dans une formation diplômante de Licence ou de Master à l’université Paris Ouest, à l’exception de ceux qui préparent leur(s) diplôme(s) dans le cadre de l’enseignement à distance et sauf situation particulière donnant droit à la formule dérogatoire. Pour chaque élément pédagogique (Unité d’Enseignement - UE ou Élément Constitutif - EC) au niveau duquel s’opère l’évaluation de l’étudiant, la </w:t>
      </w:r>
      <w:r w:rsidRPr="00395DBC">
        <w:rPr>
          <w:rFonts w:ascii="Bookman Old Style" w:hAnsi="Bookman Old Style" w:cs="Arial"/>
          <w:bCs/>
          <w:sz w:val="20"/>
        </w:rPr>
        <w:lastRenderedPageBreak/>
        <w:t xml:space="preserve">formule d’examen standard peut comporter un ou deux volets selon la période à laquelle se déroule l’examen, selon l'élément pédagogique concerné et se décomposant comme suit : (1) a) </w:t>
      </w:r>
      <w:r w:rsidRPr="00395DBC">
        <w:rPr>
          <w:rFonts w:ascii="Bookman Old Style" w:hAnsi="Bookman Old Style" w:cs="Arial"/>
          <w:bCs/>
          <w:i/>
          <w:iCs/>
          <w:sz w:val="20"/>
        </w:rPr>
        <w:t>le</w:t>
      </w:r>
      <w:r w:rsidRPr="00395DBC">
        <w:rPr>
          <w:rFonts w:ascii="Bookman Old Style" w:hAnsi="Bookman Old Style" w:cs="Arial"/>
          <w:bCs/>
          <w:sz w:val="20"/>
        </w:rPr>
        <w:t xml:space="preserve"> </w:t>
      </w:r>
      <w:r w:rsidRPr="00395DBC">
        <w:rPr>
          <w:rFonts w:ascii="Bookman Old Style" w:hAnsi="Bookman Old Style" w:cs="Arial"/>
          <w:bCs/>
          <w:i/>
          <w:iCs/>
          <w:sz w:val="20"/>
        </w:rPr>
        <w:t>contrôle</w:t>
      </w:r>
      <w:r w:rsidRPr="00395DBC">
        <w:rPr>
          <w:rFonts w:ascii="Bookman Old Style" w:hAnsi="Bookman Old Style" w:cs="Arial"/>
          <w:bCs/>
          <w:sz w:val="20"/>
        </w:rPr>
        <w:t xml:space="preserve"> </w:t>
      </w:r>
      <w:r w:rsidRPr="00395DBC">
        <w:rPr>
          <w:rFonts w:ascii="Bookman Old Style" w:hAnsi="Bookman Old Style" w:cs="Arial"/>
          <w:bCs/>
          <w:i/>
          <w:iCs/>
          <w:sz w:val="20"/>
        </w:rPr>
        <w:t>continu</w:t>
      </w:r>
      <w:r w:rsidRPr="00395DBC">
        <w:rPr>
          <w:rFonts w:ascii="Bookman Old Style" w:hAnsi="Bookman Old Style" w:cs="Arial"/>
          <w:bCs/>
          <w:sz w:val="20"/>
        </w:rPr>
        <w:t xml:space="preserve"> ou b) </w:t>
      </w:r>
      <w:r w:rsidRPr="00395DBC">
        <w:rPr>
          <w:rFonts w:ascii="Bookman Old Style" w:hAnsi="Bookman Old Style" w:cs="Arial"/>
          <w:bCs/>
          <w:i/>
          <w:iCs/>
          <w:sz w:val="20"/>
        </w:rPr>
        <w:t>le contrôle en cours de formation</w:t>
      </w:r>
      <w:r w:rsidRPr="00395DBC">
        <w:rPr>
          <w:rStyle w:val="Appelnotedebasdep"/>
          <w:rFonts w:ascii="Bookman Old Style" w:hAnsi="Bookman Old Style" w:cs="Arial"/>
          <w:bCs/>
          <w:i/>
          <w:iCs/>
          <w:sz w:val="20"/>
        </w:rPr>
        <w:footnoteReference w:id="1"/>
      </w:r>
      <w:r w:rsidRPr="00395DBC">
        <w:rPr>
          <w:rFonts w:ascii="Bookman Old Style" w:hAnsi="Bookman Old Style" w:cs="Arial"/>
          <w:bCs/>
          <w:iCs/>
          <w:sz w:val="20"/>
        </w:rPr>
        <w:t xml:space="preserve">, et (2) le </w:t>
      </w:r>
      <w:r w:rsidRPr="00395DBC">
        <w:rPr>
          <w:rFonts w:ascii="Bookman Old Style" w:hAnsi="Bookman Old Style" w:cs="Arial"/>
          <w:bCs/>
          <w:i/>
          <w:iCs/>
          <w:sz w:val="20"/>
        </w:rPr>
        <w:t>contrôle terminal</w:t>
      </w:r>
      <w:r w:rsidRPr="00395DBC">
        <w:rPr>
          <w:rFonts w:ascii="Bookman Old Style" w:hAnsi="Bookman Old Style" w:cs="Arial"/>
          <w:bCs/>
          <w:sz w:val="20"/>
        </w:rPr>
        <w:t xml:space="preserve">. Lorsque les </w:t>
      </w:r>
      <w:r w:rsidRPr="00395DBC">
        <w:rPr>
          <w:rFonts w:ascii="Bookman Old Style" w:hAnsi="Bookman Old Style" w:cs="Arial"/>
          <w:bCs/>
          <w:i/>
          <w:iCs/>
          <w:sz w:val="20"/>
        </w:rPr>
        <w:t>deux</w:t>
      </w:r>
      <w:r w:rsidRPr="00395DBC">
        <w:rPr>
          <w:rFonts w:ascii="Bookman Old Style" w:hAnsi="Bookman Old Style" w:cs="Arial"/>
          <w:bCs/>
          <w:sz w:val="20"/>
        </w:rPr>
        <w:t xml:space="preserve"> volets sont présents, leur pondération respective est fixée par l'équipe de formation.</w:t>
      </w:r>
    </w:p>
    <w:p w:rsidR="00070E5D" w:rsidRPr="00395DBC" w:rsidRDefault="00070E5D" w:rsidP="00070E5D">
      <w:pPr>
        <w:pStyle w:val="Paragraphedeliste"/>
        <w:numPr>
          <w:ilvl w:val="0"/>
          <w:numId w:val="41"/>
        </w:numPr>
        <w:spacing w:before="120" w:after="120" w:line="240" w:lineRule="auto"/>
        <w:jc w:val="both"/>
        <w:rPr>
          <w:rFonts w:ascii="Bookman Old Style" w:hAnsi="Bookman Old Style" w:cs="Arial"/>
          <w:bCs/>
          <w:sz w:val="20"/>
        </w:rPr>
      </w:pPr>
      <w:r w:rsidRPr="00395DBC">
        <w:rPr>
          <w:rFonts w:ascii="Bookman Old Style" w:hAnsi="Bookman Old Style" w:cs="Arial"/>
          <w:bCs/>
          <w:sz w:val="20"/>
          <w:u w:val="single"/>
        </w:rPr>
        <w:t>Les contrôles se déroulant au cours d’une période semestrielle d’enseignement</w:t>
      </w:r>
    </w:p>
    <w:p w:rsidR="00070E5D" w:rsidRPr="00395DBC" w:rsidRDefault="00070E5D" w:rsidP="00070E5D">
      <w:pPr>
        <w:spacing w:before="120"/>
        <w:jc w:val="both"/>
        <w:rPr>
          <w:rFonts w:ascii="Bookman Old Style" w:hAnsi="Bookman Old Style" w:cs="Arial"/>
          <w:bCs/>
          <w:sz w:val="20"/>
        </w:rPr>
      </w:pPr>
      <w:r w:rsidRPr="00395DBC">
        <w:rPr>
          <w:rFonts w:ascii="Bookman Old Style" w:hAnsi="Bookman Old Style" w:cs="Arial"/>
          <w:bCs/>
          <w:sz w:val="20"/>
        </w:rPr>
        <w:t>Ceux-ci peuvent prendre deux formes :</w:t>
      </w:r>
    </w:p>
    <w:p w:rsidR="00070E5D" w:rsidRPr="00395DBC" w:rsidRDefault="00070E5D" w:rsidP="00070E5D">
      <w:pPr>
        <w:spacing w:before="120"/>
        <w:ind w:firstLine="360"/>
        <w:jc w:val="both"/>
        <w:rPr>
          <w:rFonts w:ascii="Bookman Old Style" w:hAnsi="Bookman Old Style" w:cs="Arial"/>
          <w:sz w:val="20"/>
        </w:rPr>
      </w:pPr>
      <w:r w:rsidRPr="00395DBC">
        <w:rPr>
          <w:rFonts w:ascii="Bookman Old Style" w:hAnsi="Bookman Old Style" w:cs="Arial"/>
          <w:bCs/>
          <w:i/>
          <w:sz w:val="20"/>
        </w:rPr>
        <w:t>1a) Le contrôle continu</w:t>
      </w:r>
      <w:r w:rsidRPr="00395DBC">
        <w:rPr>
          <w:rFonts w:ascii="Bookman Old Style" w:hAnsi="Bookman Old Style" w:cs="Arial"/>
          <w:bCs/>
          <w:sz w:val="20"/>
        </w:rPr>
        <w:t xml:space="preserve"> est composé </w:t>
      </w:r>
      <w:r w:rsidRPr="00395DBC">
        <w:rPr>
          <w:rFonts w:ascii="Bookman Old Style" w:hAnsi="Bookman Old Style" w:cs="Arial"/>
          <w:b/>
          <w:bCs/>
          <w:sz w:val="20"/>
          <w:u w:val="single"/>
        </w:rPr>
        <w:t>de plusieurs</w:t>
      </w:r>
      <w:r w:rsidRPr="00395DBC">
        <w:rPr>
          <w:rFonts w:ascii="Bookman Old Style" w:hAnsi="Bookman Old Style" w:cs="Arial"/>
          <w:bCs/>
          <w:sz w:val="20"/>
        </w:rPr>
        <w:t xml:space="preserve"> épreuves qui visent à vérifier ponctuellement les acquis de l’étudiant. </w:t>
      </w:r>
      <w:r w:rsidRPr="00395DBC">
        <w:rPr>
          <w:rFonts w:ascii="Bookman Old Style" w:hAnsi="Bookman Old Style" w:cs="Arial"/>
          <w:sz w:val="20"/>
        </w:rPr>
        <w:t xml:space="preserve">Les modalités de contrôle continu prévoient la communication régulière des notes et résultats à l’étudiant. </w:t>
      </w:r>
    </w:p>
    <w:p w:rsidR="00070E5D" w:rsidRPr="00395DBC" w:rsidRDefault="00070E5D" w:rsidP="00070E5D">
      <w:pPr>
        <w:spacing w:before="120"/>
        <w:ind w:firstLine="360"/>
        <w:jc w:val="both"/>
        <w:rPr>
          <w:rFonts w:ascii="Bookman Old Style" w:hAnsi="Bookman Old Style" w:cs="Arial"/>
          <w:bCs/>
          <w:sz w:val="20"/>
        </w:rPr>
      </w:pPr>
      <w:r w:rsidRPr="00395DBC">
        <w:rPr>
          <w:rFonts w:ascii="Bookman Old Style" w:hAnsi="Bookman Old Style" w:cs="Arial"/>
          <w:bCs/>
          <w:i/>
          <w:sz w:val="20"/>
        </w:rPr>
        <w:t>1b)</w:t>
      </w:r>
      <w:r w:rsidRPr="00395DBC">
        <w:rPr>
          <w:rFonts w:ascii="Bookman Old Style" w:hAnsi="Bookman Old Style" w:cs="Arial"/>
          <w:bCs/>
          <w:sz w:val="20"/>
        </w:rPr>
        <w:t xml:space="preserve"> </w:t>
      </w:r>
      <w:r w:rsidRPr="00395DBC">
        <w:rPr>
          <w:rFonts w:ascii="Bookman Old Style" w:hAnsi="Bookman Old Style" w:cs="Arial"/>
          <w:bCs/>
          <w:i/>
          <w:sz w:val="20"/>
        </w:rPr>
        <w:t xml:space="preserve">Le contrôle en cours de formation </w:t>
      </w:r>
      <w:r w:rsidRPr="00395DBC">
        <w:rPr>
          <w:rFonts w:ascii="Bookman Old Style" w:hAnsi="Bookman Old Style" w:cs="Arial"/>
          <w:bCs/>
          <w:sz w:val="20"/>
        </w:rPr>
        <w:t>est composé d’une seule situation d’évaluation visant à évaluer les compétences acquises à la fin d’un cycle d’enseignement</w:t>
      </w:r>
      <w:r w:rsidRPr="00395DBC">
        <w:rPr>
          <w:rFonts w:ascii="Bookman Old Style" w:hAnsi="Bookman Old Style" w:cs="Arial"/>
          <w:bCs/>
          <w:i/>
          <w:sz w:val="20"/>
        </w:rPr>
        <w:t xml:space="preserve">. </w:t>
      </w:r>
      <w:r w:rsidRPr="00395DBC">
        <w:rPr>
          <w:rFonts w:ascii="Bookman Old Style" w:hAnsi="Bookman Old Style" w:cs="Arial"/>
          <w:bCs/>
          <w:sz w:val="20"/>
        </w:rPr>
        <w:t xml:space="preserve">Ce CCF est organisé et corrigé par l’enseignant dans le cadre des groupes qui composent la population inscrite à l’élément pédagogique. Celui-ci peut prendre différentes formes : épreuve sur table, devoir, dossier, mémoire, compte-rendu de stages, etc. Parmi les modalités du CCF, certaines peuvent prendre la forme d'un contrôle organisé sous la direction du responsable de l’équipe pédagogique, commun donc à tous les étudiants inscrits à l'élément pédagogique. </w:t>
      </w:r>
    </w:p>
    <w:p w:rsidR="00070E5D" w:rsidRPr="00395DBC" w:rsidRDefault="00070E5D" w:rsidP="00070E5D">
      <w:pPr>
        <w:pStyle w:val="Paragraphedeliste"/>
        <w:numPr>
          <w:ilvl w:val="0"/>
          <w:numId w:val="41"/>
        </w:numPr>
        <w:spacing w:before="120" w:after="120" w:line="240" w:lineRule="auto"/>
        <w:jc w:val="both"/>
        <w:rPr>
          <w:rFonts w:ascii="Bookman Old Style" w:hAnsi="Bookman Old Style" w:cs="Arial"/>
          <w:bCs/>
          <w:sz w:val="20"/>
        </w:rPr>
      </w:pPr>
      <w:r w:rsidRPr="00395DBC">
        <w:rPr>
          <w:rFonts w:ascii="Bookman Old Style" w:hAnsi="Bookman Old Style" w:cs="Arial"/>
          <w:bCs/>
          <w:sz w:val="20"/>
          <w:u w:val="single"/>
        </w:rPr>
        <w:t>Les contrôles se déroulant après la période semestrielle d’enseignement</w:t>
      </w:r>
    </w:p>
    <w:p w:rsidR="00070E5D" w:rsidRPr="00395DBC" w:rsidRDefault="00070E5D" w:rsidP="00070E5D">
      <w:pPr>
        <w:spacing w:before="120"/>
        <w:jc w:val="both"/>
        <w:rPr>
          <w:rFonts w:ascii="Bookman Old Style" w:hAnsi="Bookman Old Style" w:cs="Arial"/>
          <w:bCs/>
          <w:sz w:val="20"/>
        </w:rPr>
      </w:pPr>
      <w:r w:rsidRPr="00395DBC">
        <w:rPr>
          <w:rFonts w:ascii="Bookman Old Style" w:hAnsi="Bookman Old Style" w:cs="Arial"/>
          <w:bCs/>
          <w:sz w:val="20"/>
        </w:rPr>
        <w:t>Cette forme de contrôle se déroulant après une période de révision d’une semaine minimum</w:t>
      </w:r>
      <w:r w:rsidRPr="00395DBC">
        <w:rPr>
          <w:rStyle w:val="Appelnotedebasdep"/>
          <w:rFonts w:ascii="Bookman Old Style" w:hAnsi="Bookman Old Style" w:cs="Arial"/>
          <w:bCs/>
          <w:sz w:val="20"/>
        </w:rPr>
        <w:footnoteReference w:id="2"/>
      </w:r>
      <w:r w:rsidRPr="00395DBC">
        <w:rPr>
          <w:rFonts w:ascii="Bookman Old Style" w:hAnsi="Bookman Old Style" w:cs="Arial"/>
          <w:bCs/>
          <w:sz w:val="20"/>
        </w:rPr>
        <w:t>.</w:t>
      </w:r>
    </w:p>
    <w:p w:rsidR="00070E5D" w:rsidRPr="00395DBC" w:rsidRDefault="00070E5D" w:rsidP="00070E5D">
      <w:pPr>
        <w:spacing w:before="120"/>
        <w:ind w:firstLine="360"/>
        <w:jc w:val="both"/>
        <w:rPr>
          <w:rFonts w:ascii="Bookman Old Style" w:hAnsi="Bookman Old Style" w:cs="Arial"/>
          <w:bCs/>
          <w:sz w:val="20"/>
        </w:rPr>
      </w:pPr>
      <w:r w:rsidRPr="00395DBC">
        <w:rPr>
          <w:rFonts w:ascii="Bookman Old Style" w:hAnsi="Bookman Old Style" w:cs="Arial"/>
          <w:bCs/>
          <w:i/>
          <w:iCs/>
          <w:sz w:val="20"/>
        </w:rPr>
        <w:t>Le contrôle (ou examen) terminal</w:t>
      </w:r>
      <w:r w:rsidRPr="00395DBC">
        <w:rPr>
          <w:rFonts w:ascii="Bookman Old Style" w:hAnsi="Bookman Old Style" w:cs="Arial"/>
          <w:bCs/>
          <w:sz w:val="20"/>
        </w:rPr>
        <w:t xml:space="preserve"> est une épreuve récapitulative, portant donc sur l’ensemble du programme,  qui  se déroule à la fin de l’enseignement. Cette épreuve finale prend alors la forme d’un </w:t>
      </w:r>
      <w:r w:rsidRPr="00395DBC">
        <w:rPr>
          <w:rFonts w:ascii="Bookman Old Style" w:hAnsi="Bookman Old Style" w:cs="Arial"/>
          <w:bCs/>
          <w:i/>
          <w:sz w:val="20"/>
        </w:rPr>
        <w:t>examen de fin de semestre</w:t>
      </w:r>
      <w:r w:rsidRPr="00395DBC">
        <w:rPr>
          <w:rFonts w:ascii="Bookman Old Style" w:hAnsi="Bookman Old Style" w:cs="Arial"/>
          <w:bCs/>
          <w:sz w:val="20"/>
        </w:rPr>
        <w:t xml:space="preserve"> communément appelé </w:t>
      </w:r>
      <w:r w:rsidRPr="00395DBC">
        <w:rPr>
          <w:rFonts w:ascii="Bookman Old Style" w:hAnsi="Bookman Old Style" w:cs="Arial"/>
          <w:bCs/>
          <w:i/>
          <w:sz w:val="20"/>
        </w:rPr>
        <w:t xml:space="preserve">partiel </w:t>
      </w:r>
      <w:r w:rsidRPr="00395DBC">
        <w:rPr>
          <w:rFonts w:ascii="Bookman Old Style" w:hAnsi="Bookman Old Style" w:cs="Arial"/>
          <w:bCs/>
          <w:sz w:val="20"/>
        </w:rPr>
        <w:t>(épreuve sur table), commun à tous les étudiants inscrits à l’élément pédagogique.</w:t>
      </w:r>
    </w:p>
    <w:p w:rsidR="00070E5D" w:rsidRPr="00395DBC" w:rsidRDefault="00070E5D" w:rsidP="00070E5D">
      <w:pPr>
        <w:spacing w:before="120"/>
        <w:jc w:val="both"/>
        <w:rPr>
          <w:rFonts w:ascii="Bookman Old Style" w:hAnsi="Bookman Old Style" w:cs="Arial"/>
          <w:bCs/>
          <w:sz w:val="20"/>
        </w:rPr>
      </w:pPr>
      <w:r w:rsidRPr="00395DBC">
        <w:rPr>
          <w:rFonts w:ascii="Bookman Old Style" w:hAnsi="Bookman Old Style" w:cs="Arial"/>
          <w:bCs/>
          <w:sz w:val="20"/>
        </w:rPr>
        <w:t>Dans tous les cas, les formateurs informent les étudiant(e)s de la période prévue pour chaque mode de contrôle, des compétences à évaluer, des conditions de l’évaluation, des critères d’évaluation (exigences et indicateurs).</w:t>
      </w:r>
    </w:p>
    <w:p w:rsidR="00070E5D" w:rsidRPr="00395DBC" w:rsidRDefault="00070E5D" w:rsidP="00070E5D">
      <w:pPr>
        <w:tabs>
          <w:tab w:val="left" w:pos="510"/>
        </w:tabs>
        <w:suppressAutoHyphens/>
        <w:spacing w:before="120"/>
        <w:jc w:val="both"/>
        <w:rPr>
          <w:rFonts w:ascii="Bookman Old Style" w:hAnsi="Bookman Old Style" w:cs="Arial"/>
          <w:bCs/>
          <w:sz w:val="20"/>
        </w:rPr>
      </w:pPr>
      <w:r w:rsidRPr="00395DBC">
        <w:rPr>
          <w:rFonts w:ascii="Bookman Old Style" w:hAnsi="Bookman Old Style" w:cs="Arial"/>
          <w:bCs/>
          <w:sz w:val="20"/>
          <w:u w:val="single"/>
        </w:rPr>
        <w:t>Note</w:t>
      </w:r>
      <w:r w:rsidRPr="00395DBC">
        <w:rPr>
          <w:rFonts w:ascii="Bookman Old Style" w:hAnsi="Bookman Old Style" w:cs="Arial"/>
          <w:bCs/>
          <w:sz w:val="20"/>
        </w:rPr>
        <w:t> : Conformément à l’Arrêté Licence du 1</w:t>
      </w:r>
      <w:r w:rsidRPr="00395DBC">
        <w:rPr>
          <w:rFonts w:ascii="Bookman Old Style" w:hAnsi="Bookman Old Style" w:cs="Arial"/>
          <w:bCs/>
          <w:sz w:val="20"/>
          <w:vertAlign w:val="superscript"/>
        </w:rPr>
        <w:t>er</w:t>
      </w:r>
      <w:r w:rsidRPr="00395DBC">
        <w:rPr>
          <w:rFonts w:ascii="Bookman Old Style" w:hAnsi="Bookman Old Style" w:cs="Arial"/>
          <w:bCs/>
          <w:sz w:val="20"/>
        </w:rPr>
        <w:t xml:space="preserve"> Août 2011 (Art. 11), trois formules de contrôle des connaissances peuvent donc être identifiées : (1) le contrôle continu (la note finale est la note moyenne de l’ensemble des évaluations) ou le contrôle en cours de formation (la note finale), (2) l’examen terminal (une seule épreuve lors d’une session d’examen programmée au même moment pour l’ensemble des étudiants inscrits à l’élément pédagogique), et (3) une formule « mixte » associant contrôle continu ou contrôle en cours de formation et examen </w:t>
      </w:r>
      <w:r w:rsidRPr="00395DBC">
        <w:rPr>
          <w:rFonts w:ascii="Bookman Old Style" w:hAnsi="Bookman Old Style" w:cs="Arial"/>
          <w:bCs/>
          <w:sz w:val="20"/>
        </w:rPr>
        <w:lastRenderedPageBreak/>
        <w:t>terminal (les deux étant clairement dissociés et la pondération (e.g., 50%-50% ; 60%-40% ; etc.) respective de ces deux modalités étant clairement définies également à l’avance (cf. livret pédagogique).</w:t>
      </w:r>
    </w:p>
    <w:p w:rsidR="00070E5D" w:rsidRPr="00395DBC" w:rsidRDefault="00070E5D" w:rsidP="00070E5D">
      <w:pPr>
        <w:numPr>
          <w:ilvl w:val="0"/>
          <w:numId w:val="39"/>
        </w:numPr>
        <w:suppressAutoHyphens/>
        <w:spacing w:before="240" w:after="120" w:line="240" w:lineRule="auto"/>
        <w:ind w:left="714" w:hanging="357"/>
        <w:jc w:val="both"/>
        <w:rPr>
          <w:rFonts w:ascii="Bookman Old Style" w:hAnsi="Bookman Old Style" w:cs="Arial"/>
          <w:b/>
          <w:sz w:val="20"/>
        </w:rPr>
      </w:pPr>
      <w:r w:rsidRPr="00395DBC">
        <w:rPr>
          <w:rFonts w:ascii="Bookman Old Style" w:hAnsi="Bookman Old Style" w:cs="Arial"/>
          <w:b/>
          <w:sz w:val="20"/>
        </w:rPr>
        <w:t>La formule de contrôle des connaissances et des compétences pour l’enseignement à distance :</w:t>
      </w:r>
    </w:p>
    <w:p w:rsidR="00070E5D" w:rsidRPr="00395DBC" w:rsidRDefault="00070E5D" w:rsidP="00070E5D">
      <w:pPr>
        <w:spacing w:before="120"/>
        <w:ind w:firstLine="360"/>
        <w:jc w:val="both"/>
        <w:rPr>
          <w:rFonts w:ascii="Bookman Old Style" w:hAnsi="Bookman Old Style" w:cs="Arial"/>
          <w:bCs/>
          <w:sz w:val="20"/>
        </w:rPr>
      </w:pPr>
      <w:r w:rsidRPr="00395DBC">
        <w:rPr>
          <w:rFonts w:ascii="Bookman Old Style" w:hAnsi="Bookman Old Style" w:cs="Arial"/>
          <w:bCs/>
          <w:sz w:val="20"/>
        </w:rPr>
        <w:t xml:space="preserve">Elle s’applique à tous les étudiants qui sont inscrits à l’université Paris Ouest dans le cadre de l’EAD. </w:t>
      </w:r>
      <w:r w:rsidRPr="00395DBC">
        <w:rPr>
          <w:rFonts w:ascii="Bookman Old Style" w:hAnsi="Bookman Old Style" w:cs="Arial"/>
          <w:sz w:val="20"/>
        </w:rPr>
        <w:t>Pour tous les éléments constitutifs de l’étape de diplôme ou du diplôme, la ou les  formules d'examen mises en œuvre parmi les trois décrites supra seront  précisées dés le début de l’année universitaire dans le livret pédagogique délivré aux étudiants.</w:t>
      </w:r>
    </w:p>
    <w:p w:rsidR="00070E5D" w:rsidRPr="00395DBC" w:rsidRDefault="00070E5D" w:rsidP="00070E5D">
      <w:pPr>
        <w:numPr>
          <w:ilvl w:val="0"/>
          <w:numId w:val="39"/>
        </w:numPr>
        <w:suppressAutoHyphens/>
        <w:spacing w:before="120" w:after="120" w:line="240" w:lineRule="auto"/>
        <w:jc w:val="both"/>
        <w:rPr>
          <w:rFonts w:ascii="Bookman Old Style" w:hAnsi="Bookman Old Style" w:cs="Arial"/>
          <w:b/>
          <w:sz w:val="20"/>
        </w:rPr>
      </w:pPr>
      <w:r w:rsidRPr="00395DBC">
        <w:rPr>
          <w:rFonts w:ascii="Bookman Old Style" w:hAnsi="Bookman Old Style" w:cs="Arial"/>
          <w:b/>
          <w:sz w:val="20"/>
        </w:rPr>
        <w:t>La formule dérogatoire de contrôle des connaissances et des compétences:</w:t>
      </w:r>
    </w:p>
    <w:p w:rsidR="00070E5D" w:rsidRPr="00395DBC" w:rsidRDefault="00070E5D" w:rsidP="00070E5D">
      <w:pPr>
        <w:spacing w:before="120"/>
        <w:ind w:firstLine="360"/>
        <w:jc w:val="both"/>
        <w:rPr>
          <w:rFonts w:ascii="Bookman Old Style" w:hAnsi="Bookman Old Style" w:cs="Arial"/>
          <w:bCs/>
          <w:sz w:val="20"/>
        </w:rPr>
      </w:pPr>
      <w:r w:rsidRPr="00395DBC">
        <w:rPr>
          <w:rFonts w:ascii="Bookman Old Style" w:hAnsi="Bookman Old Style" w:cs="Arial"/>
          <w:bCs/>
          <w:sz w:val="20"/>
        </w:rPr>
        <w:t>Elle</w:t>
      </w:r>
      <w:r w:rsidRPr="00395DBC">
        <w:rPr>
          <w:rFonts w:ascii="Bookman Old Style" w:hAnsi="Bookman Old Style" w:cs="Arial"/>
          <w:bCs/>
          <w:i/>
          <w:sz w:val="20"/>
        </w:rPr>
        <w:t xml:space="preserve"> </w:t>
      </w:r>
      <w:r w:rsidRPr="00395DBC">
        <w:rPr>
          <w:rFonts w:ascii="Bookman Old Style" w:hAnsi="Bookman Old Style" w:cs="Arial"/>
          <w:bCs/>
          <w:sz w:val="20"/>
        </w:rPr>
        <w:t xml:space="preserve">s’applique aux étudiants qui sont dispensés d’assiduité aux enseignements présentiels. </w:t>
      </w:r>
    </w:p>
    <w:p w:rsidR="00070E5D" w:rsidRPr="00395DBC" w:rsidRDefault="00070E5D" w:rsidP="00070E5D">
      <w:pPr>
        <w:spacing w:before="120"/>
        <w:jc w:val="both"/>
        <w:rPr>
          <w:rFonts w:ascii="Bookman Old Style" w:hAnsi="Bookman Old Style" w:cs="Arial"/>
          <w:bCs/>
          <w:sz w:val="20"/>
        </w:rPr>
      </w:pPr>
      <w:r w:rsidRPr="00395DBC">
        <w:rPr>
          <w:rFonts w:ascii="Bookman Old Style" w:hAnsi="Bookman Old Style" w:cs="Arial"/>
          <w:bCs/>
          <w:sz w:val="20"/>
        </w:rPr>
        <w:t xml:space="preserve">Pour tous les éléments pédagogiques de l’étape de diplôme ou du diplôme auxquels est inscrit l’étudiant, elle prend la forme d’un </w:t>
      </w:r>
      <w:r w:rsidRPr="00395DBC">
        <w:rPr>
          <w:rFonts w:ascii="Bookman Old Style" w:hAnsi="Bookman Old Style" w:cs="Arial"/>
          <w:bCs/>
          <w:i/>
          <w:sz w:val="20"/>
        </w:rPr>
        <w:t xml:space="preserve">examen </w:t>
      </w:r>
      <w:r w:rsidRPr="00395DBC">
        <w:rPr>
          <w:rFonts w:ascii="Bookman Old Style" w:hAnsi="Bookman Old Style" w:cs="Arial"/>
          <w:bCs/>
          <w:i/>
          <w:iCs/>
          <w:sz w:val="20"/>
        </w:rPr>
        <w:t>terminal</w:t>
      </w:r>
      <w:r w:rsidRPr="00395DBC">
        <w:rPr>
          <w:rFonts w:ascii="Bookman Old Style" w:hAnsi="Bookman Old Style" w:cs="Arial"/>
          <w:bCs/>
          <w:sz w:val="20"/>
        </w:rPr>
        <w:t xml:space="preserve">. </w:t>
      </w:r>
    </w:p>
    <w:p w:rsidR="00070E5D" w:rsidRPr="00395DBC" w:rsidRDefault="00070E5D" w:rsidP="00070E5D">
      <w:pPr>
        <w:spacing w:before="120"/>
        <w:jc w:val="both"/>
        <w:rPr>
          <w:rFonts w:ascii="Bookman Old Style" w:hAnsi="Bookman Old Style" w:cs="Arial"/>
          <w:sz w:val="20"/>
        </w:rPr>
      </w:pPr>
      <w:r w:rsidRPr="00395DBC">
        <w:rPr>
          <w:rFonts w:ascii="Bookman Old Style" w:hAnsi="Bookman Old Style" w:cs="Arial"/>
          <w:bCs/>
          <w:sz w:val="20"/>
        </w:rPr>
        <w:t xml:space="preserve">Les conditions de dispense d’assiduité doivent figurer dans le livret de l’étudiant. Ces conditions sont en conformité avec le cadre général qui  a été approuvé par les instances de l’université. À ce titre, </w:t>
      </w:r>
      <w:r w:rsidRPr="00395DBC">
        <w:rPr>
          <w:rFonts w:ascii="Bookman Old Style" w:hAnsi="Bookman Old Style" w:cs="Arial"/>
          <w:sz w:val="20"/>
        </w:rPr>
        <w:t>le CA fixe, sur proposition du CEVU, les modalités pédagogiques spéciales prenant en compte les besoins particuliers des étudiants engagés dans la vie active ou assumant des responsabilités particulières dans la vie universitaire, la vie étudiante ou associative, des étudiants chargés de famille, des étudiants engagés dans plusieurs cursus, des étudiants handicapés et des sportifs de haut niveau.</w:t>
      </w:r>
    </w:p>
    <w:p w:rsidR="00070E5D" w:rsidRPr="00395DBC" w:rsidRDefault="00070E5D" w:rsidP="00070E5D">
      <w:pPr>
        <w:jc w:val="both"/>
        <w:rPr>
          <w:rFonts w:ascii="Bookman Old Style" w:hAnsi="Bookman Old Style" w:cs="Arial"/>
          <w:sz w:val="20"/>
        </w:rPr>
      </w:pPr>
      <w:r w:rsidRPr="00395DBC">
        <w:rPr>
          <w:rFonts w:ascii="Bookman Old Style" w:hAnsi="Bookman Old Style" w:cs="Arial"/>
          <w:sz w:val="20"/>
        </w:rPr>
        <w:t>En cas de changement important dans le cadre de vie de l’étudiant (e.g., signature d’un contrat de travail) au cours de l’année universitaire, l’étudiant aura la possibilité d’adresser au responsable pédagogique du diplôme, une demande de changement de statut dans un courrier manuscrit et signé, accompagné de l’ensemble des pièces justificatives. En cas d’accord sur le changement de statut de l’étudiant, celui-ci sera définitif et ne pourra plus être changé.</w:t>
      </w:r>
    </w:p>
    <w:p w:rsidR="00070E5D" w:rsidRPr="00395DBC" w:rsidRDefault="00070E5D" w:rsidP="00070E5D">
      <w:pPr>
        <w:spacing w:before="120"/>
        <w:jc w:val="both"/>
        <w:rPr>
          <w:rFonts w:ascii="Bookman Old Style" w:hAnsi="Bookman Old Style" w:cs="Arial"/>
          <w:bCs/>
          <w:sz w:val="20"/>
        </w:rPr>
      </w:pPr>
    </w:p>
    <w:p w:rsidR="00070E5D" w:rsidRPr="00395DBC" w:rsidRDefault="00070E5D" w:rsidP="00070E5D">
      <w:pPr>
        <w:numPr>
          <w:ilvl w:val="0"/>
          <w:numId w:val="40"/>
        </w:numPr>
        <w:suppressAutoHyphens/>
        <w:spacing w:before="120" w:after="120" w:line="240" w:lineRule="auto"/>
        <w:jc w:val="both"/>
        <w:rPr>
          <w:rFonts w:ascii="Bookman Old Style" w:hAnsi="Bookman Old Style" w:cs="Arial"/>
          <w:b/>
          <w:sz w:val="20"/>
        </w:rPr>
      </w:pPr>
      <w:r w:rsidRPr="00395DBC">
        <w:rPr>
          <w:rFonts w:ascii="Bookman Old Style" w:hAnsi="Bookman Old Style" w:cs="Arial"/>
          <w:b/>
          <w:sz w:val="20"/>
        </w:rPr>
        <w:t>La session de rattrapage :</w:t>
      </w:r>
    </w:p>
    <w:p w:rsidR="00070E5D" w:rsidRPr="00395DBC" w:rsidRDefault="00070E5D" w:rsidP="00070E5D">
      <w:pPr>
        <w:spacing w:before="120"/>
        <w:ind w:firstLine="360"/>
        <w:jc w:val="both"/>
        <w:rPr>
          <w:rFonts w:ascii="Bookman Old Style" w:hAnsi="Bookman Old Style" w:cs="Arial"/>
          <w:bCs/>
          <w:sz w:val="20"/>
        </w:rPr>
      </w:pPr>
      <w:r w:rsidRPr="00395DBC">
        <w:rPr>
          <w:rFonts w:ascii="Bookman Old Style" w:hAnsi="Bookman Old Style" w:cs="Arial"/>
          <w:bCs/>
          <w:sz w:val="20"/>
        </w:rPr>
        <w:t xml:space="preserve">Excepté lorsque cette disposition n’est pas explicitement prévue dans les modalités propres à un diplôme particulier (e.g., UE professionnelles dans certains M2 en raison des périodes de stages parfois tardives), les étudiants n’ayant pas validé l’ensemble des enseignements de l’année sont convoqués à une deuxième session d’examen, dite session de rattrapage, où ils devront obligatoirement repasser tous les éléments pédagogiques qui n’ont pas été validés (voir modalités de validation ci-dessous). </w:t>
      </w:r>
    </w:p>
    <w:p w:rsidR="00070E5D" w:rsidRPr="00395DBC" w:rsidRDefault="00070E5D" w:rsidP="00070E5D">
      <w:pPr>
        <w:spacing w:before="120"/>
        <w:jc w:val="both"/>
        <w:rPr>
          <w:rFonts w:ascii="Bookman Old Style" w:hAnsi="Bookman Old Style" w:cs="Arial"/>
          <w:b/>
          <w:sz w:val="20"/>
        </w:rPr>
      </w:pPr>
      <w:r w:rsidRPr="00395DBC">
        <w:rPr>
          <w:rFonts w:ascii="Bookman Old Style" w:hAnsi="Bookman Old Style" w:cs="Arial"/>
          <w:bCs/>
          <w:sz w:val="20"/>
        </w:rPr>
        <w:t>Pour chaque élément pédagogique, et quel que soit le régime d’inscription de l’étudiant pour l’année universitaire en question, les modalités de contrôle (</w:t>
      </w:r>
      <w:r w:rsidRPr="00395DBC">
        <w:rPr>
          <w:rFonts w:ascii="Bookman Old Style" w:hAnsi="Bookman Old Style" w:cs="Arial"/>
          <w:bCs/>
          <w:iCs/>
          <w:sz w:val="20"/>
        </w:rPr>
        <w:t>durée de l’épreuve, oral ou écrit ;</w:t>
      </w:r>
      <w:r w:rsidRPr="00395DBC">
        <w:rPr>
          <w:rFonts w:ascii="Bookman Old Style" w:hAnsi="Bookman Old Style" w:cs="Arial"/>
          <w:bCs/>
          <w:sz w:val="20"/>
        </w:rPr>
        <w:t xml:space="preserve">  </w:t>
      </w:r>
      <w:r w:rsidRPr="00395DBC">
        <w:rPr>
          <w:rFonts w:ascii="Bookman Old Style" w:hAnsi="Bookman Old Style" w:cs="Arial"/>
          <w:bCs/>
          <w:iCs/>
          <w:sz w:val="20"/>
        </w:rPr>
        <w:t>contenus</w:t>
      </w:r>
      <w:r w:rsidRPr="00395DBC">
        <w:rPr>
          <w:rFonts w:ascii="Bookman Old Style" w:hAnsi="Bookman Old Style" w:cs="Arial"/>
          <w:bCs/>
          <w:sz w:val="20"/>
        </w:rPr>
        <w:t xml:space="preserve"> du programme exposé dans la brochure) en vigueur à la 2</w:t>
      </w:r>
      <w:r w:rsidRPr="00395DBC">
        <w:rPr>
          <w:rFonts w:ascii="Bookman Old Style" w:hAnsi="Bookman Old Style" w:cs="Arial"/>
          <w:bCs/>
          <w:sz w:val="20"/>
          <w:vertAlign w:val="superscript"/>
        </w:rPr>
        <w:t>e</w:t>
      </w:r>
      <w:r w:rsidRPr="00395DBC">
        <w:rPr>
          <w:rFonts w:ascii="Bookman Old Style" w:hAnsi="Bookman Old Style" w:cs="Arial"/>
          <w:bCs/>
          <w:sz w:val="20"/>
        </w:rPr>
        <w:t xml:space="preserve"> session dite « session de rattrapage » devront </w:t>
      </w:r>
      <w:r w:rsidRPr="00395DBC">
        <w:rPr>
          <w:rFonts w:ascii="Bookman Old Style" w:hAnsi="Bookman Old Style" w:cs="Arial"/>
          <w:sz w:val="20"/>
        </w:rPr>
        <w:t>figurer dans la brochure présentant les contenus d’enseignement de chaque diplôme, celle-ci devant être soumise à examen et validée par les instances de l’université au début de chaque année universitaire</w:t>
      </w:r>
      <w:r w:rsidRPr="00395DBC">
        <w:rPr>
          <w:rFonts w:ascii="Bookman Old Style" w:hAnsi="Bookman Old Style" w:cs="Arial"/>
          <w:b/>
          <w:sz w:val="20"/>
        </w:rPr>
        <w:t>.</w:t>
      </w:r>
    </w:p>
    <w:p w:rsidR="00070E5D" w:rsidRPr="00395DBC" w:rsidRDefault="00070E5D" w:rsidP="00070E5D">
      <w:pPr>
        <w:spacing w:before="120"/>
        <w:jc w:val="both"/>
        <w:rPr>
          <w:rFonts w:ascii="Bookman Old Style" w:hAnsi="Bookman Old Style" w:cs="Arial"/>
          <w:sz w:val="20"/>
        </w:rPr>
      </w:pPr>
      <w:r w:rsidRPr="00395DBC">
        <w:rPr>
          <w:rFonts w:ascii="Bookman Old Style" w:hAnsi="Bookman Old Style" w:cs="Arial"/>
          <w:bCs/>
          <w:sz w:val="20"/>
        </w:rPr>
        <w:t>La période pendant laquelle se dérouleront les examens s’appliquant aux étudiants sera annoncée, au plus tard, en début de chaque année universitaire.</w:t>
      </w:r>
    </w:p>
    <w:p w:rsidR="00070E5D" w:rsidRPr="00395DBC" w:rsidRDefault="00070E5D" w:rsidP="00070E5D">
      <w:pPr>
        <w:spacing w:before="120"/>
        <w:jc w:val="both"/>
        <w:rPr>
          <w:rFonts w:ascii="Bookman Old Style" w:hAnsi="Bookman Old Style" w:cs="Arial"/>
          <w:sz w:val="20"/>
        </w:rPr>
      </w:pPr>
    </w:p>
    <w:p w:rsidR="00070E5D" w:rsidRPr="00395DBC" w:rsidRDefault="00070E5D" w:rsidP="00070E5D">
      <w:pPr>
        <w:pStyle w:val="Titre1"/>
        <w:spacing w:before="120" w:after="120"/>
        <w:jc w:val="both"/>
        <w:rPr>
          <w:rFonts w:ascii="Bookman Old Style" w:hAnsi="Bookman Old Style"/>
          <w:i/>
          <w:smallCaps/>
        </w:rPr>
      </w:pPr>
      <w:r w:rsidRPr="00395DBC">
        <w:rPr>
          <w:rFonts w:ascii="Bookman Old Style" w:hAnsi="Bookman Old Style"/>
          <w:i/>
          <w:smallCaps/>
        </w:rPr>
        <w:t>des dispenses et des crédits acquis</w:t>
      </w:r>
    </w:p>
    <w:p w:rsidR="00070E5D" w:rsidRPr="00395DBC" w:rsidRDefault="00070E5D" w:rsidP="00070E5D">
      <w:pPr>
        <w:spacing w:before="120"/>
        <w:jc w:val="both"/>
        <w:rPr>
          <w:rFonts w:ascii="Bookman Old Style" w:hAnsi="Bookman Old Style" w:cs="Arial"/>
          <w:b/>
          <w:i/>
          <w:sz w:val="20"/>
        </w:rPr>
      </w:pPr>
      <w:r w:rsidRPr="00395DBC">
        <w:rPr>
          <w:rFonts w:ascii="Bookman Old Style" w:hAnsi="Bookman Old Style" w:cs="Arial"/>
          <w:b/>
          <w:i/>
          <w:sz w:val="20"/>
        </w:rPr>
        <w:t>Les absences </w:t>
      </w:r>
    </w:p>
    <w:p w:rsidR="00070E5D" w:rsidRPr="00395DBC" w:rsidRDefault="00070E5D" w:rsidP="00070E5D">
      <w:pPr>
        <w:pStyle w:val="Corpsdetexte2"/>
        <w:spacing w:line="240" w:lineRule="auto"/>
        <w:ind w:firstLine="708"/>
        <w:jc w:val="both"/>
        <w:rPr>
          <w:rFonts w:ascii="Bookman Old Style" w:hAnsi="Bookman Old Style" w:cs="Arial"/>
          <w:sz w:val="20"/>
        </w:rPr>
      </w:pPr>
      <w:r w:rsidRPr="00395DBC">
        <w:rPr>
          <w:rFonts w:ascii="Bookman Old Style" w:hAnsi="Bookman Old Style" w:cs="Arial"/>
          <w:sz w:val="20"/>
        </w:rPr>
        <w:t>Un étudiant reconnu absent au cours du semestre à plus de trois séances de TD organisés dans le cadre d’une UE ou d’un EC dont l’enseignement se déroule sur 12 séquences est déclaré défaillant à celui-ci, que l’absence soit justifiée ou non</w:t>
      </w:r>
      <w:r w:rsidRPr="00395DBC">
        <w:rPr>
          <w:rStyle w:val="Appelnotedebasdep"/>
          <w:rFonts w:ascii="Bookman Old Style" w:hAnsi="Bookman Old Style" w:cs="Arial"/>
          <w:sz w:val="20"/>
        </w:rPr>
        <w:footnoteReference w:id="3"/>
      </w:r>
      <w:r w:rsidRPr="00395DBC">
        <w:rPr>
          <w:rFonts w:ascii="Bookman Old Style" w:hAnsi="Bookman Old Style" w:cs="Arial"/>
          <w:sz w:val="20"/>
        </w:rPr>
        <w:t xml:space="preserve">. L’étudiant se verra alors attribuer le résultat </w:t>
      </w:r>
      <w:r w:rsidRPr="00395DBC">
        <w:rPr>
          <w:rFonts w:ascii="Bookman Old Style" w:hAnsi="Bookman Old Style" w:cs="Arial"/>
          <w:b/>
          <w:sz w:val="20"/>
        </w:rPr>
        <w:t>ABI</w:t>
      </w:r>
      <w:r w:rsidRPr="00395DBC">
        <w:rPr>
          <w:rFonts w:ascii="Bookman Old Style" w:hAnsi="Bookman Old Style" w:cs="Arial"/>
          <w:sz w:val="20"/>
        </w:rPr>
        <w:t xml:space="preserve"> pour l’EC concerné.  </w:t>
      </w:r>
    </w:p>
    <w:p w:rsidR="00070E5D" w:rsidRPr="00395DBC" w:rsidRDefault="00070E5D" w:rsidP="00070E5D">
      <w:pPr>
        <w:pStyle w:val="Blocdecitation"/>
        <w:tabs>
          <w:tab w:val="left" w:pos="8789"/>
        </w:tabs>
        <w:spacing w:before="120"/>
        <w:ind w:right="0"/>
        <w:jc w:val="both"/>
        <w:rPr>
          <w:rFonts w:ascii="Bookman Old Style" w:hAnsi="Bookman Old Style" w:cs="Arial"/>
        </w:rPr>
      </w:pPr>
      <w:r w:rsidRPr="00395DBC">
        <w:rPr>
          <w:rFonts w:ascii="Bookman Old Style" w:hAnsi="Bookman Old Style" w:cs="Arial"/>
          <w:i w:val="0"/>
        </w:rPr>
        <w:t>Un étudiant reconnu absent à une épreuve terminale portant sur un élément constitutif d’une UE ou sur une UE, est déclaré défaillant à cet élément pédagogique, que l’absence soit justifiée ou non. Dans ce cas, l’étudiant se verra attribuer la note « </w:t>
      </w:r>
      <w:r w:rsidRPr="00395DBC">
        <w:rPr>
          <w:rFonts w:ascii="Bookman Old Style" w:hAnsi="Bookman Old Style" w:cs="Arial"/>
          <w:b/>
          <w:i w:val="0"/>
        </w:rPr>
        <w:t>ABI</w:t>
      </w:r>
      <w:r w:rsidRPr="00395DBC">
        <w:rPr>
          <w:rFonts w:ascii="Bookman Old Style" w:hAnsi="Bookman Old Style" w:cs="Arial"/>
          <w:i w:val="0"/>
        </w:rPr>
        <w:t> » pour l’UE concernée.</w:t>
      </w:r>
      <w:r w:rsidRPr="00395DBC">
        <w:rPr>
          <w:rStyle w:val="Appelnotedebasdep"/>
          <w:rFonts w:ascii="Bookman Old Style" w:hAnsi="Bookman Old Style" w:cs="Arial"/>
          <w:i w:val="0"/>
        </w:rPr>
        <w:footnoteReference w:id="4"/>
      </w:r>
    </w:p>
    <w:p w:rsidR="00070E5D" w:rsidRPr="00395DBC" w:rsidRDefault="00070E5D" w:rsidP="00070E5D">
      <w:pPr>
        <w:pStyle w:val="Titre2"/>
        <w:jc w:val="both"/>
        <w:rPr>
          <w:rFonts w:ascii="Bookman Old Style" w:hAnsi="Bookman Old Style"/>
        </w:rPr>
      </w:pPr>
      <w:r w:rsidRPr="00395DBC">
        <w:rPr>
          <w:rFonts w:ascii="Bookman Old Style" w:hAnsi="Bookman Old Style"/>
        </w:rPr>
        <w:t>Les dispenses</w:t>
      </w:r>
    </w:p>
    <w:p w:rsidR="00070E5D" w:rsidRPr="00395DBC" w:rsidRDefault="00070E5D" w:rsidP="00070E5D">
      <w:pPr>
        <w:pStyle w:val="Blocdecitation"/>
        <w:spacing w:before="120"/>
        <w:ind w:right="0"/>
        <w:jc w:val="both"/>
        <w:rPr>
          <w:rFonts w:ascii="Bookman Old Style" w:hAnsi="Bookman Old Style" w:cs="Arial"/>
          <w:i w:val="0"/>
        </w:rPr>
      </w:pPr>
      <w:r w:rsidRPr="00395DBC">
        <w:rPr>
          <w:rFonts w:ascii="Bookman Old Style" w:hAnsi="Bookman Old Style" w:cs="Arial"/>
          <w:i w:val="0"/>
        </w:rPr>
        <w:t>Un étudiant à qui on attribue une dispense pour un élément pédagogique particulier voit celui-ci neutralisé dans le calcul des résultats. La neutralisation se fait par affectation à l’élément pédagogique concerné d’un coefficient de pondération égal à zéro. Les crédits associés à cet élément ne sont acquis qu’à l’issue de la session d’examen qui se traduit par l’obtention par l’étudiant de l’UE, du semestre ou de l’année comprenant l’élément pédagogique en question. La dispense n’est valable que pour l’année universitaire correspondant à l’inscription administrative et pédagogique qui a été enregistrée pour l’étudiant.</w:t>
      </w:r>
    </w:p>
    <w:p w:rsidR="00070E5D" w:rsidRPr="00395DBC" w:rsidRDefault="00070E5D" w:rsidP="00070E5D">
      <w:pPr>
        <w:pStyle w:val="Titre2"/>
        <w:jc w:val="both"/>
        <w:rPr>
          <w:rFonts w:ascii="Bookman Old Style" w:hAnsi="Bookman Old Style"/>
        </w:rPr>
      </w:pPr>
      <w:r w:rsidRPr="00395DBC">
        <w:rPr>
          <w:rFonts w:ascii="Bookman Old Style" w:hAnsi="Bookman Old Style"/>
        </w:rPr>
        <w:t xml:space="preserve">La validation des acquis </w:t>
      </w:r>
    </w:p>
    <w:p w:rsidR="00070E5D" w:rsidRPr="00395DBC" w:rsidRDefault="00070E5D" w:rsidP="00070E5D">
      <w:pPr>
        <w:pStyle w:val="Blocdecitation"/>
        <w:spacing w:before="120"/>
        <w:ind w:right="-108"/>
        <w:jc w:val="both"/>
        <w:rPr>
          <w:rFonts w:ascii="Bookman Old Style" w:hAnsi="Bookman Old Style" w:cs="Arial"/>
          <w:i w:val="0"/>
        </w:rPr>
      </w:pPr>
      <w:r w:rsidRPr="00395DBC">
        <w:rPr>
          <w:rFonts w:ascii="Bookman Old Style" w:hAnsi="Bookman Old Style" w:cs="Arial"/>
          <w:i w:val="0"/>
        </w:rPr>
        <w:t>L’étudiant qui bénéficie de validations d’acquis au titre d’éléments constitutifs ou d’unités d’enseignement acquis et capitalisés voit les crédits correspondants transférés. Les éléments pédagogiques ainsi validés sont neutralisés dans la détermination des résultats par l’affectation d’un coefficient de pondération égal à zéro.</w:t>
      </w:r>
    </w:p>
    <w:p w:rsidR="00070E5D" w:rsidRPr="00395DBC" w:rsidRDefault="00070E5D" w:rsidP="00070E5D">
      <w:pPr>
        <w:pStyle w:val="Blocdecitation"/>
        <w:spacing w:before="120"/>
        <w:ind w:right="-108"/>
        <w:jc w:val="both"/>
        <w:rPr>
          <w:rFonts w:ascii="Bookman Old Style" w:hAnsi="Bookman Old Style" w:cs="Arial"/>
          <w:i w:val="0"/>
        </w:rPr>
      </w:pPr>
      <w:r w:rsidRPr="00395DBC">
        <w:rPr>
          <w:rFonts w:ascii="Bookman Old Style" w:hAnsi="Bookman Old Style" w:cs="Arial"/>
          <w:i w:val="0"/>
        </w:rPr>
        <w:t xml:space="preserve">Dans le cas d’une « Validation d’Acquis Académiques », le cas le plus général sera celui du report global sur une étape du diplôme avec la note annuelle obtenue par l’étudiant dans son établissement d’origine. </w:t>
      </w:r>
    </w:p>
    <w:p w:rsidR="00070E5D" w:rsidRPr="00395DBC" w:rsidRDefault="00070E5D" w:rsidP="00070E5D">
      <w:pPr>
        <w:pStyle w:val="Blocdecitation"/>
        <w:spacing w:before="120"/>
        <w:ind w:right="-108"/>
        <w:jc w:val="both"/>
        <w:rPr>
          <w:rFonts w:ascii="Bookman Old Style" w:hAnsi="Bookman Old Style" w:cs="Arial"/>
        </w:rPr>
      </w:pPr>
      <w:r w:rsidRPr="00395DBC">
        <w:rPr>
          <w:rFonts w:ascii="Bookman Old Style" w:hAnsi="Bookman Old Style" w:cs="Arial"/>
          <w:i w:val="0"/>
        </w:rPr>
        <w:t xml:space="preserve">Dans des cas particuliers, il pourra être également procédé au report des notes au titre d’éléments constitutifs ou d’unités d’enseignement acquis et capitalisés sur demande écrite de l’étudiant auprès du </w:t>
      </w:r>
      <w:r w:rsidRPr="00395DBC">
        <w:rPr>
          <w:rFonts w:ascii="Bookman Old Style" w:hAnsi="Bookman Old Style" w:cs="Arial"/>
          <w:i w:val="0"/>
          <w:color w:val="660066"/>
        </w:rPr>
        <w:t>jury de l’année de diplôme</w:t>
      </w:r>
      <w:r w:rsidRPr="00395DBC">
        <w:rPr>
          <w:rFonts w:ascii="Bookman Old Style" w:hAnsi="Bookman Old Style" w:cs="Arial"/>
          <w:i w:val="0"/>
        </w:rPr>
        <w:t xml:space="preserve"> correspondant et selon des règles qui pourront être définies par ce même jury.</w:t>
      </w:r>
    </w:p>
    <w:bookmarkEnd w:id="1"/>
    <w:p w:rsidR="00070E5D" w:rsidRPr="00395DBC" w:rsidRDefault="00070E5D" w:rsidP="00070E5D">
      <w:pPr>
        <w:pStyle w:val="Titre1"/>
        <w:spacing w:before="120" w:after="120"/>
        <w:jc w:val="both"/>
        <w:rPr>
          <w:rFonts w:ascii="Bookman Old Style" w:hAnsi="Bookman Old Style"/>
          <w:i/>
          <w:iCs/>
          <w:smallCaps/>
        </w:rPr>
      </w:pPr>
    </w:p>
    <w:p w:rsidR="00070E5D" w:rsidRPr="00395DBC" w:rsidRDefault="00070E5D" w:rsidP="00070E5D">
      <w:pPr>
        <w:pStyle w:val="Titre1"/>
        <w:spacing w:before="120" w:after="120"/>
        <w:jc w:val="both"/>
        <w:rPr>
          <w:rFonts w:ascii="Bookman Old Style" w:hAnsi="Bookman Old Style"/>
          <w:i/>
          <w:iCs/>
          <w:smallCaps/>
        </w:rPr>
      </w:pPr>
      <w:r w:rsidRPr="00395DBC">
        <w:rPr>
          <w:rFonts w:ascii="Bookman Old Style" w:hAnsi="Bookman Old Style"/>
          <w:i/>
          <w:iCs/>
          <w:smallCaps/>
        </w:rPr>
        <w:t>Les règles de compensation, de capitalisation et de progression en Master</w:t>
      </w:r>
    </w:p>
    <w:p w:rsidR="00070E5D" w:rsidRPr="00395DBC" w:rsidRDefault="00070E5D" w:rsidP="00070E5D">
      <w:pPr>
        <w:jc w:val="both"/>
        <w:rPr>
          <w:rFonts w:ascii="Bookman Old Style" w:hAnsi="Bookman Old Style"/>
        </w:rPr>
      </w:pPr>
      <w:r w:rsidRPr="00395DBC">
        <w:rPr>
          <w:rFonts w:ascii="Bookman Old Style" w:hAnsi="Bookman Old Style"/>
        </w:rPr>
        <w:t>La numérotation commence ici à 14, les dispositions 1 à13 concernant la licence.</w:t>
      </w:r>
    </w:p>
    <w:p w:rsidR="00070E5D" w:rsidRPr="00395DBC" w:rsidRDefault="00070E5D" w:rsidP="00070E5D">
      <w:pPr>
        <w:pStyle w:val="Blocdecitation"/>
        <w:spacing w:before="120"/>
        <w:ind w:right="0"/>
        <w:jc w:val="both"/>
        <w:rPr>
          <w:rFonts w:ascii="Bookman Old Style" w:hAnsi="Bookman Old Style" w:cs="Arial"/>
          <w:i w:val="0"/>
        </w:rPr>
      </w:pPr>
      <w:bookmarkStart w:id="2" w:name="_Toc378340166"/>
      <w:r w:rsidRPr="00395DBC">
        <w:rPr>
          <w:rFonts w:ascii="Bookman Old Style" w:hAnsi="Bookman Old Style" w:cs="Arial"/>
          <w:b/>
          <w:i w:val="0"/>
        </w:rPr>
        <w:t>Disposition n°14 :</w:t>
      </w:r>
      <w:r w:rsidRPr="00395DBC">
        <w:rPr>
          <w:rFonts w:ascii="Bookman Old Style" w:hAnsi="Bookman Old Style" w:cs="Arial"/>
          <w:i w:val="0"/>
        </w:rPr>
        <w:t xml:space="preserve"> L’organisation administrative de l’année universitaire est annuelle (inscription en Master 1, inscription en Master 2).</w:t>
      </w:r>
    </w:p>
    <w:p w:rsidR="00070E5D" w:rsidRPr="00395DBC" w:rsidRDefault="00070E5D" w:rsidP="00070E5D">
      <w:pPr>
        <w:pStyle w:val="Blocdecitation"/>
        <w:spacing w:before="120"/>
        <w:ind w:right="0"/>
        <w:jc w:val="both"/>
        <w:rPr>
          <w:rFonts w:ascii="Bookman Old Style" w:hAnsi="Bookman Old Style" w:cs="Arial"/>
          <w:i w:val="0"/>
        </w:rPr>
      </w:pPr>
      <w:r w:rsidRPr="00395DBC">
        <w:rPr>
          <w:rFonts w:ascii="Bookman Old Style" w:hAnsi="Bookman Old Style" w:cs="Arial"/>
          <w:b/>
          <w:i w:val="0"/>
        </w:rPr>
        <w:t>Disposition n°15 :</w:t>
      </w:r>
      <w:r w:rsidRPr="00395DBC">
        <w:rPr>
          <w:rFonts w:ascii="Bookman Old Style" w:hAnsi="Bookman Old Style" w:cs="Arial"/>
          <w:i w:val="0"/>
        </w:rPr>
        <w:t xml:space="preserve"> Une </w:t>
      </w:r>
      <w:r w:rsidRPr="00395DBC">
        <w:rPr>
          <w:rFonts w:ascii="Bookman Old Style" w:hAnsi="Bookman Old Style" w:cs="Arial"/>
          <w:i w:val="0"/>
          <w:spacing w:val="-2"/>
        </w:rPr>
        <w:t>M</w:t>
      </w:r>
      <w:r w:rsidRPr="00395DBC">
        <w:rPr>
          <w:rFonts w:ascii="Bookman Old Style" w:hAnsi="Bookman Old Style" w:cs="Arial"/>
          <w:i w:val="0"/>
          <w:spacing w:val="-1"/>
        </w:rPr>
        <w:t>e</w:t>
      </w:r>
      <w:r w:rsidRPr="00395DBC">
        <w:rPr>
          <w:rFonts w:ascii="Bookman Old Style" w:hAnsi="Bookman Old Style" w:cs="Arial"/>
          <w:i w:val="0"/>
        </w:rPr>
        <w:t xml:space="preserve">ntion </w:t>
      </w:r>
      <w:r w:rsidRPr="00395DBC">
        <w:rPr>
          <w:rFonts w:ascii="Bookman Old Style" w:hAnsi="Bookman Old Style" w:cs="Arial"/>
          <w:i w:val="0"/>
          <w:spacing w:val="-24"/>
        </w:rPr>
        <w:t xml:space="preserve"> </w:t>
      </w:r>
      <w:r w:rsidRPr="00395DBC">
        <w:rPr>
          <w:rFonts w:ascii="Bookman Old Style" w:hAnsi="Bookman Old Style" w:cs="Arial"/>
          <w:i w:val="0"/>
        </w:rPr>
        <w:t xml:space="preserve">de </w:t>
      </w:r>
      <w:r w:rsidRPr="00395DBC">
        <w:rPr>
          <w:rFonts w:ascii="Bookman Old Style" w:hAnsi="Bookman Old Style" w:cs="Arial"/>
          <w:i w:val="0"/>
          <w:spacing w:val="-25"/>
        </w:rPr>
        <w:t xml:space="preserve"> </w:t>
      </w:r>
      <w:r w:rsidRPr="00395DBC">
        <w:rPr>
          <w:rFonts w:ascii="Bookman Old Style" w:hAnsi="Bookman Old Style" w:cs="Arial"/>
          <w:i w:val="0"/>
          <w:spacing w:val="-2"/>
        </w:rPr>
        <w:t>M</w:t>
      </w:r>
      <w:r w:rsidRPr="00395DBC">
        <w:rPr>
          <w:rFonts w:ascii="Bookman Old Style" w:hAnsi="Bookman Old Style" w:cs="Arial"/>
          <w:i w:val="0"/>
          <w:spacing w:val="4"/>
        </w:rPr>
        <w:t>a</w:t>
      </w:r>
      <w:r w:rsidRPr="00395DBC">
        <w:rPr>
          <w:rFonts w:ascii="Bookman Old Style" w:hAnsi="Bookman Old Style" w:cs="Arial"/>
          <w:i w:val="0"/>
          <w:spacing w:val="-2"/>
        </w:rPr>
        <w:t>s</w:t>
      </w:r>
      <w:r w:rsidRPr="00395DBC">
        <w:rPr>
          <w:rFonts w:ascii="Bookman Old Style" w:hAnsi="Bookman Old Style" w:cs="Arial"/>
          <w:i w:val="0"/>
        </w:rPr>
        <w:t>t</w:t>
      </w:r>
      <w:r w:rsidRPr="00395DBC">
        <w:rPr>
          <w:rFonts w:ascii="Bookman Old Style" w:hAnsi="Bookman Old Style" w:cs="Arial"/>
          <w:i w:val="0"/>
          <w:spacing w:val="-1"/>
        </w:rPr>
        <w:t>e</w:t>
      </w:r>
      <w:r w:rsidRPr="00395DBC">
        <w:rPr>
          <w:rFonts w:ascii="Bookman Old Style" w:hAnsi="Bookman Old Style" w:cs="Arial"/>
          <w:i w:val="0"/>
        </w:rPr>
        <w:t xml:space="preserve">r </w:t>
      </w:r>
      <w:r w:rsidRPr="00395DBC">
        <w:rPr>
          <w:rFonts w:ascii="Bookman Old Style" w:hAnsi="Bookman Old Style" w:cs="Arial"/>
          <w:i w:val="0"/>
          <w:spacing w:val="-22"/>
        </w:rPr>
        <w:t xml:space="preserve"> </w:t>
      </w:r>
      <w:r w:rsidRPr="00395DBC">
        <w:rPr>
          <w:rFonts w:ascii="Bookman Old Style" w:hAnsi="Bookman Old Style" w:cs="Arial"/>
          <w:i w:val="0"/>
          <w:spacing w:val="-1"/>
        </w:rPr>
        <w:t>e</w:t>
      </w:r>
      <w:r w:rsidRPr="00395DBC">
        <w:rPr>
          <w:rFonts w:ascii="Bookman Old Style" w:hAnsi="Bookman Old Style" w:cs="Arial"/>
          <w:i w:val="0"/>
          <w:spacing w:val="-2"/>
        </w:rPr>
        <w:t>s</w:t>
      </w:r>
      <w:r w:rsidRPr="00395DBC">
        <w:rPr>
          <w:rFonts w:ascii="Bookman Old Style" w:hAnsi="Bookman Old Style" w:cs="Arial"/>
          <w:i w:val="0"/>
        </w:rPr>
        <w:t xml:space="preserve">t </w:t>
      </w:r>
      <w:r w:rsidRPr="00395DBC">
        <w:rPr>
          <w:rFonts w:ascii="Bookman Old Style" w:hAnsi="Bookman Old Style" w:cs="Arial"/>
          <w:i w:val="0"/>
          <w:spacing w:val="-24"/>
        </w:rPr>
        <w:t xml:space="preserve"> </w:t>
      </w:r>
      <w:r w:rsidRPr="00395DBC">
        <w:rPr>
          <w:rFonts w:ascii="Bookman Old Style" w:hAnsi="Bookman Old Style" w:cs="Arial"/>
          <w:i w:val="0"/>
        </w:rPr>
        <w:t>d</w:t>
      </w:r>
      <w:r w:rsidRPr="00395DBC">
        <w:rPr>
          <w:rFonts w:ascii="Bookman Old Style" w:hAnsi="Bookman Old Style" w:cs="Arial"/>
          <w:i w:val="0"/>
          <w:spacing w:val="-1"/>
        </w:rPr>
        <w:t>é</w:t>
      </w:r>
      <w:r w:rsidRPr="00395DBC">
        <w:rPr>
          <w:rFonts w:ascii="Bookman Old Style" w:hAnsi="Bookman Old Style" w:cs="Arial"/>
          <w:i w:val="0"/>
        </w:rPr>
        <w:t>liv</w:t>
      </w:r>
      <w:r w:rsidRPr="00395DBC">
        <w:rPr>
          <w:rFonts w:ascii="Bookman Old Style" w:hAnsi="Bookman Old Style" w:cs="Arial"/>
          <w:i w:val="0"/>
          <w:spacing w:val="2"/>
        </w:rPr>
        <w:t>r</w:t>
      </w:r>
      <w:r w:rsidRPr="00395DBC">
        <w:rPr>
          <w:rFonts w:ascii="Bookman Old Style" w:hAnsi="Bookman Old Style" w:cs="Arial"/>
          <w:i w:val="0"/>
          <w:spacing w:val="-1"/>
        </w:rPr>
        <w:t>é</w:t>
      </w:r>
      <w:r w:rsidRPr="00395DBC">
        <w:rPr>
          <w:rFonts w:ascii="Bookman Old Style" w:hAnsi="Bookman Old Style" w:cs="Arial"/>
          <w:i w:val="0"/>
        </w:rPr>
        <w:t xml:space="preserve">e </w:t>
      </w:r>
      <w:r w:rsidRPr="00395DBC">
        <w:rPr>
          <w:rFonts w:ascii="Bookman Old Style" w:hAnsi="Bookman Old Style" w:cs="Arial"/>
          <w:i w:val="0"/>
          <w:spacing w:val="-25"/>
        </w:rPr>
        <w:t xml:space="preserve"> </w:t>
      </w:r>
      <w:r w:rsidRPr="00395DBC">
        <w:rPr>
          <w:rFonts w:ascii="Bookman Old Style" w:hAnsi="Bookman Old Style" w:cs="Arial"/>
          <w:i w:val="0"/>
        </w:rPr>
        <w:t>p</w:t>
      </w:r>
      <w:r w:rsidRPr="00395DBC">
        <w:rPr>
          <w:rFonts w:ascii="Bookman Old Style" w:hAnsi="Bookman Old Style" w:cs="Arial"/>
          <w:i w:val="0"/>
          <w:spacing w:val="-1"/>
        </w:rPr>
        <w:t>a</w:t>
      </w:r>
      <w:r w:rsidRPr="00395DBC">
        <w:rPr>
          <w:rFonts w:ascii="Bookman Old Style" w:hAnsi="Bookman Old Style" w:cs="Arial"/>
          <w:i w:val="0"/>
        </w:rPr>
        <w:t xml:space="preserve">r </w:t>
      </w:r>
      <w:r w:rsidRPr="00395DBC">
        <w:rPr>
          <w:rFonts w:ascii="Bookman Old Style" w:hAnsi="Bookman Old Style" w:cs="Arial"/>
          <w:i w:val="0"/>
          <w:spacing w:val="-22"/>
        </w:rPr>
        <w:t xml:space="preserve"> </w:t>
      </w:r>
      <w:r w:rsidRPr="00395DBC">
        <w:rPr>
          <w:rFonts w:ascii="Bookman Old Style" w:hAnsi="Bookman Old Style" w:cs="Arial"/>
          <w:i w:val="0"/>
        </w:rPr>
        <w:t>l</w:t>
      </w:r>
      <w:r w:rsidRPr="00395DBC">
        <w:rPr>
          <w:rFonts w:ascii="Bookman Old Style" w:hAnsi="Bookman Old Style" w:cs="Arial"/>
          <w:i w:val="0"/>
          <w:spacing w:val="2"/>
        </w:rPr>
        <w:t>’</w:t>
      </w:r>
      <w:r w:rsidRPr="00395DBC">
        <w:rPr>
          <w:rFonts w:ascii="Bookman Old Style" w:hAnsi="Bookman Old Style" w:cs="Arial"/>
          <w:i w:val="0"/>
          <w:spacing w:val="-1"/>
        </w:rPr>
        <w:t>ac</w:t>
      </w:r>
      <w:r w:rsidRPr="00395DBC">
        <w:rPr>
          <w:rFonts w:ascii="Bookman Old Style" w:hAnsi="Bookman Old Style" w:cs="Arial"/>
          <w:i w:val="0"/>
        </w:rPr>
        <w:t>qui</w:t>
      </w:r>
      <w:r w:rsidRPr="00395DBC">
        <w:rPr>
          <w:rFonts w:ascii="Bookman Old Style" w:hAnsi="Bookman Old Style" w:cs="Arial"/>
          <w:i w:val="0"/>
          <w:spacing w:val="-2"/>
        </w:rPr>
        <w:t>s</w:t>
      </w:r>
      <w:r w:rsidRPr="00395DBC">
        <w:rPr>
          <w:rFonts w:ascii="Bookman Old Style" w:hAnsi="Bookman Old Style" w:cs="Arial"/>
          <w:i w:val="0"/>
        </w:rPr>
        <w:t xml:space="preserve">ition de 120 </w:t>
      </w:r>
      <w:r w:rsidRPr="00395DBC">
        <w:rPr>
          <w:rFonts w:ascii="Bookman Old Style" w:hAnsi="Bookman Old Style" w:cs="Arial"/>
          <w:i w:val="0"/>
          <w:spacing w:val="-1"/>
        </w:rPr>
        <w:t>c</w:t>
      </w:r>
      <w:r w:rsidRPr="00395DBC">
        <w:rPr>
          <w:rFonts w:ascii="Bookman Old Style" w:hAnsi="Bookman Old Style" w:cs="Arial"/>
          <w:i w:val="0"/>
          <w:spacing w:val="2"/>
        </w:rPr>
        <w:t>r</w:t>
      </w:r>
      <w:r w:rsidRPr="00395DBC">
        <w:rPr>
          <w:rFonts w:ascii="Bookman Old Style" w:hAnsi="Bookman Old Style" w:cs="Arial"/>
          <w:i w:val="0"/>
          <w:spacing w:val="-1"/>
        </w:rPr>
        <w:t>é</w:t>
      </w:r>
      <w:r w:rsidRPr="00395DBC">
        <w:rPr>
          <w:rFonts w:ascii="Bookman Old Style" w:hAnsi="Bookman Old Style" w:cs="Arial"/>
          <w:i w:val="0"/>
        </w:rPr>
        <w:t xml:space="preserve">dits </w:t>
      </w:r>
      <w:r w:rsidRPr="00395DBC">
        <w:rPr>
          <w:rFonts w:ascii="Bookman Old Style" w:hAnsi="Bookman Old Style" w:cs="Arial"/>
          <w:i w:val="0"/>
          <w:spacing w:val="-26"/>
        </w:rPr>
        <w:t xml:space="preserve"> </w:t>
      </w:r>
      <w:r w:rsidRPr="00395DBC">
        <w:rPr>
          <w:rFonts w:ascii="Bookman Old Style" w:hAnsi="Bookman Old Style" w:cs="Arial"/>
          <w:i w:val="0"/>
          <w:spacing w:val="-1"/>
        </w:rPr>
        <w:t>e</w:t>
      </w:r>
      <w:r w:rsidRPr="00395DBC">
        <w:rPr>
          <w:rFonts w:ascii="Bookman Old Style" w:hAnsi="Bookman Old Style" w:cs="Arial"/>
          <w:i w:val="0"/>
        </w:rPr>
        <w:t>u</w:t>
      </w:r>
      <w:r w:rsidRPr="00395DBC">
        <w:rPr>
          <w:rFonts w:ascii="Bookman Old Style" w:hAnsi="Bookman Old Style" w:cs="Arial"/>
          <w:i w:val="0"/>
          <w:spacing w:val="2"/>
        </w:rPr>
        <w:t>r</w:t>
      </w:r>
      <w:r w:rsidRPr="00395DBC">
        <w:rPr>
          <w:rFonts w:ascii="Bookman Old Style" w:hAnsi="Bookman Old Style" w:cs="Arial"/>
          <w:i w:val="0"/>
        </w:rPr>
        <w:t>op</w:t>
      </w:r>
      <w:r w:rsidRPr="00395DBC">
        <w:rPr>
          <w:rFonts w:ascii="Bookman Old Style" w:hAnsi="Bookman Old Style" w:cs="Arial"/>
          <w:i w:val="0"/>
          <w:spacing w:val="-1"/>
        </w:rPr>
        <w:t>ée</w:t>
      </w:r>
      <w:r w:rsidRPr="00395DBC">
        <w:rPr>
          <w:rFonts w:ascii="Bookman Old Style" w:hAnsi="Bookman Old Style" w:cs="Arial"/>
          <w:i w:val="0"/>
        </w:rPr>
        <w:t>n</w:t>
      </w:r>
      <w:r w:rsidRPr="00395DBC">
        <w:rPr>
          <w:rFonts w:ascii="Bookman Old Style" w:hAnsi="Bookman Old Style" w:cs="Arial"/>
          <w:i w:val="0"/>
          <w:spacing w:val="-2"/>
        </w:rPr>
        <w:t>s</w:t>
      </w:r>
      <w:r w:rsidRPr="00395DBC">
        <w:rPr>
          <w:rFonts w:ascii="Bookman Old Style" w:hAnsi="Bookman Old Style" w:cs="Arial"/>
          <w:i w:val="0"/>
        </w:rPr>
        <w:t xml:space="preserve">, </w:t>
      </w:r>
      <w:r w:rsidRPr="00395DBC">
        <w:rPr>
          <w:rFonts w:ascii="Bookman Old Style" w:hAnsi="Bookman Old Style" w:cs="Arial"/>
          <w:i w:val="0"/>
          <w:spacing w:val="-22"/>
        </w:rPr>
        <w:t xml:space="preserve"> </w:t>
      </w:r>
      <w:r w:rsidRPr="00395DBC">
        <w:rPr>
          <w:rFonts w:ascii="Bookman Old Style" w:hAnsi="Bookman Old Style" w:cs="Arial"/>
          <w:i w:val="0"/>
          <w:spacing w:val="-1"/>
        </w:rPr>
        <w:t>a</w:t>
      </w:r>
      <w:r w:rsidRPr="00395DBC">
        <w:rPr>
          <w:rFonts w:ascii="Bookman Old Style" w:hAnsi="Bookman Old Style" w:cs="Arial"/>
          <w:i w:val="0"/>
        </w:rPr>
        <w:t>u</w:t>
      </w:r>
      <w:r w:rsidRPr="00395DBC">
        <w:rPr>
          <w:rFonts w:ascii="Bookman Old Style" w:hAnsi="Bookman Old Style" w:cs="Arial"/>
          <w:i w:val="0"/>
          <w:spacing w:val="2"/>
        </w:rPr>
        <w:t>-</w:t>
      </w:r>
      <w:r w:rsidRPr="00395DBC">
        <w:rPr>
          <w:rFonts w:ascii="Bookman Old Style" w:hAnsi="Bookman Old Style" w:cs="Arial"/>
          <w:i w:val="0"/>
        </w:rPr>
        <w:t>d</w:t>
      </w:r>
      <w:r w:rsidRPr="00395DBC">
        <w:rPr>
          <w:rFonts w:ascii="Bookman Old Style" w:hAnsi="Bookman Old Style" w:cs="Arial"/>
          <w:i w:val="0"/>
          <w:spacing w:val="-1"/>
        </w:rPr>
        <w:t>e</w:t>
      </w:r>
      <w:r w:rsidRPr="00395DBC">
        <w:rPr>
          <w:rFonts w:ascii="Bookman Old Style" w:hAnsi="Bookman Old Style" w:cs="Arial"/>
          <w:i w:val="0"/>
        </w:rPr>
        <w:t xml:space="preserve">là </w:t>
      </w:r>
      <w:r w:rsidRPr="00395DBC">
        <w:rPr>
          <w:rFonts w:ascii="Bookman Old Style" w:hAnsi="Bookman Old Style" w:cs="Arial"/>
          <w:i w:val="0"/>
          <w:spacing w:val="-25"/>
        </w:rPr>
        <w:t xml:space="preserve"> </w:t>
      </w:r>
      <w:r w:rsidRPr="00395DBC">
        <w:rPr>
          <w:rFonts w:ascii="Bookman Old Style" w:hAnsi="Bookman Old Style" w:cs="Arial"/>
          <w:i w:val="0"/>
        </w:rPr>
        <w:t xml:space="preserve">de </w:t>
      </w:r>
      <w:r w:rsidRPr="00395DBC">
        <w:rPr>
          <w:rFonts w:ascii="Bookman Old Style" w:hAnsi="Bookman Old Style" w:cs="Arial"/>
          <w:i w:val="0"/>
          <w:spacing w:val="-25"/>
        </w:rPr>
        <w:t xml:space="preserve"> </w:t>
      </w:r>
      <w:r w:rsidRPr="00395DBC">
        <w:rPr>
          <w:rFonts w:ascii="Bookman Old Style" w:hAnsi="Bookman Old Style" w:cs="Arial"/>
          <w:i w:val="0"/>
        </w:rPr>
        <w:t xml:space="preserve">180 </w:t>
      </w:r>
      <w:r w:rsidRPr="00395DBC">
        <w:rPr>
          <w:rFonts w:ascii="Bookman Old Style" w:hAnsi="Bookman Old Style" w:cs="Arial"/>
          <w:i w:val="0"/>
          <w:spacing w:val="-1"/>
        </w:rPr>
        <w:t>c</w:t>
      </w:r>
      <w:r w:rsidRPr="00395DBC">
        <w:rPr>
          <w:rFonts w:ascii="Bookman Old Style" w:hAnsi="Bookman Old Style" w:cs="Arial"/>
          <w:i w:val="0"/>
          <w:spacing w:val="2"/>
        </w:rPr>
        <w:t>r</w:t>
      </w:r>
      <w:r w:rsidRPr="00395DBC">
        <w:rPr>
          <w:rFonts w:ascii="Bookman Old Style" w:hAnsi="Bookman Old Style" w:cs="Arial"/>
          <w:i w:val="0"/>
          <w:spacing w:val="-1"/>
        </w:rPr>
        <w:t>é</w:t>
      </w:r>
      <w:r w:rsidRPr="00395DBC">
        <w:rPr>
          <w:rFonts w:ascii="Bookman Old Style" w:hAnsi="Bookman Old Style" w:cs="Arial"/>
          <w:i w:val="0"/>
        </w:rPr>
        <w:t xml:space="preserve">dits </w:t>
      </w:r>
      <w:r w:rsidRPr="00395DBC">
        <w:rPr>
          <w:rFonts w:ascii="Bookman Old Style" w:hAnsi="Bookman Old Style" w:cs="Arial"/>
          <w:i w:val="0"/>
          <w:spacing w:val="12"/>
        </w:rPr>
        <w:t xml:space="preserve"> </w:t>
      </w:r>
      <w:r w:rsidRPr="00395DBC">
        <w:rPr>
          <w:rFonts w:ascii="Bookman Old Style" w:hAnsi="Bookman Old Style" w:cs="Arial"/>
          <w:i w:val="0"/>
        </w:rPr>
        <w:t>obt</w:t>
      </w:r>
      <w:r w:rsidRPr="00395DBC">
        <w:rPr>
          <w:rFonts w:ascii="Bookman Old Style" w:hAnsi="Bookman Old Style" w:cs="Arial"/>
          <w:i w:val="0"/>
          <w:spacing w:val="-1"/>
        </w:rPr>
        <w:t>e</w:t>
      </w:r>
      <w:r w:rsidRPr="00395DBC">
        <w:rPr>
          <w:rFonts w:ascii="Bookman Old Style" w:hAnsi="Bookman Old Style" w:cs="Arial"/>
          <w:i w:val="0"/>
        </w:rPr>
        <w:t xml:space="preserve">nus </w:t>
      </w:r>
      <w:r w:rsidRPr="00395DBC">
        <w:rPr>
          <w:rFonts w:ascii="Bookman Old Style" w:hAnsi="Bookman Old Style" w:cs="Arial"/>
          <w:i w:val="0"/>
          <w:spacing w:val="-1"/>
        </w:rPr>
        <w:t>a</w:t>
      </w:r>
      <w:r w:rsidRPr="00395DBC">
        <w:rPr>
          <w:rFonts w:ascii="Bookman Old Style" w:hAnsi="Bookman Old Style" w:cs="Arial"/>
          <w:i w:val="0"/>
        </w:rPr>
        <w:t>p</w:t>
      </w:r>
      <w:r w:rsidRPr="00395DBC">
        <w:rPr>
          <w:rFonts w:ascii="Bookman Old Style" w:hAnsi="Bookman Old Style" w:cs="Arial"/>
          <w:i w:val="0"/>
          <w:spacing w:val="2"/>
        </w:rPr>
        <w:t>r</w:t>
      </w:r>
      <w:r w:rsidRPr="00395DBC">
        <w:rPr>
          <w:rFonts w:ascii="Bookman Old Style" w:hAnsi="Bookman Old Style" w:cs="Arial"/>
          <w:i w:val="0"/>
          <w:spacing w:val="-1"/>
        </w:rPr>
        <w:t>è</w:t>
      </w:r>
      <w:r w:rsidRPr="00395DBC">
        <w:rPr>
          <w:rFonts w:ascii="Bookman Old Style" w:hAnsi="Bookman Old Style" w:cs="Arial"/>
          <w:i w:val="0"/>
        </w:rPr>
        <w:t xml:space="preserve">s </w:t>
      </w:r>
      <w:r w:rsidRPr="00395DBC">
        <w:rPr>
          <w:rFonts w:ascii="Bookman Old Style" w:hAnsi="Bookman Old Style" w:cs="Arial"/>
          <w:i w:val="0"/>
          <w:spacing w:val="12"/>
        </w:rPr>
        <w:t xml:space="preserve"> </w:t>
      </w:r>
      <w:r w:rsidRPr="00395DBC">
        <w:rPr>
          <w:rFonts w:ascii="Bookman Old Style" w:hAnsi="Bookman Old Style" w:cs="Arial"/>
          <w:i w:val="0"/>
        </w:rPr>
        <w:t xml:space="preserve">le </w:t>
      </w:r>
      <w:r w:rsidRPr="00395DBC">
        <w:rPr>
          <w:rFonts w:ascii="Bookman Old Style" w:hAnsi="Bookman Old Style" w:cs="Arial"/>
          <w:i w:val="0"/>
          <w:spacing w:val="13"/>
        </w:rPr>
        <w:t xml:space="preserve"> </w:t>
      </w:r>
      <w:r w:rsidRPr="00395DBC">
        <w:rPr>
          <w:rFonts w:ascii="Bookman Old Style" w:hAnsi="Bookman Old Style" w:cs="Arial"/>
          <w:i w:val="0"/>
        </w:rPr>
        <w:t>b</w:t>
      </w:r>
      <w:r w:rsidRPr="00395DBC">
        <w:rPr>
          <w:rFonts w:ascii="Bookman Old Style" w:hAnsi="Bookman Old Style" w:cs="Arial"/>
          <w:i w:val="0"/>
          <w:spacing w:val="-1"/>
        </w:rPr>
        <w:t>acca</w:t>
      </w:r>
      <w:r w:rsidRPr="00395DBC">
        <w:rPr>
          <w:rFonts w:ascii="Bookman Old Style" w:hAnsi="Bookman Old Style" w:cs="Arial"/>
          <w:i w:val="0"/>
        </w:rPr>
        <w:t>l</w:t>
      </w:r>
      <w:r w:rsidRPr="00395DBC">
        <w:rPr>
          <w:rFonts w:ascii="Bookman Old Style" w:hAnsi="Bookman Old Style" w:cs="Arial"/>
          <w:i w:val="0"/>
          <w:spacing w:val="-1"/>
        </w:rPr>
        <w:t>a</w:t>
      </w:r>
      <w:r w:rsidRPr="00395DBC">
        <w:rPr>
          <w:rFonts w:ascii="Bookman Old Style" w:hAnsi="Bookman Old Style" w:cs="Arial"/>
          <w:i w:val="0"/>
        </w:rPr>
        <w:t>u</w:t>
      </w:r>
      <w:r w:rsidRPr="00395DBC">
        <w:rPr>
          <w:rFonts w:ascii="Bookman Old Style" w:hAnsi="Bookman Old Style" w:cs="Arial"/>
          <w:i w:val="0"/>
          <w:spacing w:val="2"/>
        </w:rPr>
        <w:t>r</w:t>
      </w:r>
      <w:r w:rsidRPr="00395DBC">
        <w:rPr>
          <w:rFonts w:ascii="Bookman Old Style" w:hAnsi="Bookman Old Style" w:cs="Arial"/>
          <w:i w:val="0"/>
          <w:spacing w:val="-1"/>
        </w:rPr>
        <w:t>éa</w:t>
      </w:r>
      <w:r w:rsidRPr="00395DBC">
        <w:rPr>
          <w:rFonts w:ascii="Bookman Old Style" w:hAnsi="Bookman Old Style" w:cs="Arial"/>
          <w:i w:val="0"/>
        </w:rPr>
        <w:t xml:space="preserve">t. </w:t>
      </w:r>
      <w:r w:rsidRPr="00395DBC">
        <w:rPr>
          <w:rFonts w:ascii="Bookman Old Style" w:hAnsi="Bookman Old Style" w:cs="Arial"/>
          <w:i w:val="0"/>
          <w:spacing w:val="-2"/>
        </w:rPr>
        <w:t>C</w:t>
      </w:r>
      <w:r w:rsidRPr="00395DBC">
        <w:rPr>
          <w:rFonts w:ascii="Bookman Old Style" w:hAnsi="Bookman Old Style" w:cs="Arial"/>
          <w:i w:val="0"/>
          <w:spacing w:val="-1"/>
        </w:rPr>
        <w:t>e</w:t>
      </w:r>
      <w:r w:rsidRPr="00395DBC">
        <w:rPr>
          <w:rFonts w:ascii="Bookman Old Style" w:hAnsi="Bookman Old Style" w:cs="Arial"/>
          <w:i w:val="0"/>
        </w:rPr>
        <w:t xml:space="preserve">s </w:t>
      </w:r>
      <w:r w:rsidRPr="00395DBC">
        <w:rPr>
          <w:rFonts w:ascii="Bookman Old Style" w:hAnsi="Bookman Old Style" w:cs="Arial"/>
          <w:i w:val="0"/>
          <w:spacing w:val="12"/>
        </w:rPr>
        <w:t xml:space="preserve"> </w:t>
      </w:r>
      <w:r w:rsidRPr="00395DBC">
        <w:rPr>
          <w:rFonts w:ascii="Bookman Old Style" w:hAnsi="Bookman Old Style" w:cs="Arial"/>
          <w:i w:val="0"/>
          <w:spacing w:val="-1"/>
        </w:rPr>
        <w:t>c</w:t>
      </w:r>
      <w:r w:rsidRPr="00395DBC">
        <w:rPr>
          <w:rFonts w:ascii="Bookman Old Style" w:hAnsi="Bookman Old Style" w:cs="Arial"/>
          <w:i w:val="0"/>
          <w:spacing w:val="2"/>
        </w:rPr>
        <w:t>r</w:t>
      </w:r>
      <w:r w:rsidRPr="00395DBC">
        <w:rPr>
          <w:rFonts w:ascii="Bookman Old Style" w:hAnsi="Bookman Old Style" w:cs="Arial"/>
          <w:i w:val="0"/>
          <w:spacing w:val="-1"/>
        </w:rPr>
        <w:t>é</w:t>
      </w:r>
      <w:r w:rsidRPr="00395DBC">
        <w:rPr>
          <w:rFonts w:ascii="Bookman Old Style" w:hAnsi="Bookman Old Style" w:cs="Arial"/>
          <w:i w:val="0"/>
        </w:rPr>
        <w:t xml:space="preserve">dits </w:t>
      </w:r>
      <w:r w:rsidRPr="00395DBC">
        <w:rPr>
          <w:rFonts w:ascii="Bookman Old Style" w:hAnsi="Bookman Old Style" w:cs="Arial"/>
          <w:i w:val="0"/>
          <w:spacing w:val="-2"/>
        </w:rPr>
        <w:t>s</w:t>
      </w:r>
      <w:r w:rsidRPr="00395DBC">
        <w:rPr>
          <w:rFonts w:ascii="Bookman Old Style" w:hAnsi="Bookman Old Style" w:cs="Arial"/>
          <w:i w:val="0"/>
        </w:rPr>
        <w:t>ont v</w:t>
      </w:r>
      <w:r w:rsidRPr="00395DBC">
        <w:rPr>
          <w:rFonts w:ascii="Bookman Old Style" w:hAnsi="Bookman Old Style" w:cs="Arial"/>
          <w:i w:val="0"/>
          <w:spacing w:val="-1"/>
        </w:rPr>
        <w:t>a</w:t>
      </w:r>
      <w:r w:rsidRPr="00395DBC">
        <w:rPr>
          <w:rFonts w:ascii="Bookman Old Style" w:hAnsi="Bookman Old Style" w:cs="Arial"/>
          <w:i w:val="0"/>
        </w:rPr>
        <w:t>lid</w:t>
      </w:r>
      <w:r w:rsidRPr="00395DBC">
        <w:rPr>
          <w:rFonts w:ascii="Bookman Old Style" w:hAnsi="Bookman Old Style" w:cs="Arial"/>
          <w:i w:val="0"/>
          <w:spacing w:val="-1"/>
        </w:rPr>
        <w:t>é</w:t>
      </w:r>
      <w:r w:rsidRPr="00395DBC">
        <w:rPr>
          <w:rFonts w:ascii="Bookman Old Style" w:hAnsi="Bookman Old Style" w:cs="Arial"/>
          <w:i w:val="0"/>
        </w:rPr>
        <w:t>s d</w:t>
      </w:r>
      <w:r w:rsidRPr="00395DBC">
        <w:rPr>
          <w:rFonts w:ascii="Bookman Old Style" w:hAnsi="Bookman Old Style" w:cs="Arial"/>
          <w:i w:val="0"/>
          <w:spacing w:val="-1"/>
        </w:rPr>
        <w:t>a</w:t>
      </w:r>
      <w:r w:rsidRPr="00395DBC">
        <w:rPr>
          <w:rFonts w:ascii="Bookman Old Style" w:hAnsi="Bookman Old Style" w:cs="Arial"/>
          <w:i w:val="0"/>
        </w:rPr>
        <w:t xml:space="preserve">ns le </w:t>
      </w:r>
      <w:r w:rsidRPr="00395DBC">
        <w:rPr>
          <w:rFonts w:ascii="Bookman Old Style" w:hAnsi="Bookman Old Style" w:cs="Arial"/>
          <w:i w:val="0"/>
          <w:spacing w:val="13"/>
        </w:rPr>
        <w:t xml:space="preserve"> </w:t>
      </w:r>
      <w:r w:rsidRPr="00395DBC">
        <w:rPr>
          <w:rFonts w:ascii="Bookman Old Style" w:hAnsi="Bookman Old Style" w:cs="Arial"/>
          <w:i w:val="0"/>
          <w:spacing w:val="-1"/>
        </w:rPr>
        <w:t>ca</w:t>
      </w:r>
      <w:r w:rsidRPr="00395DBC">
        <w:rPr>
          <w:rFonts w:ascii="Bookman Old Style" w:hAnsi="Bookman Old Style" w:cs="Arial"/>
          <w:i w:val="0"/>
        </w:rPr>
        <w:t>d</w:t>
      </w:r>
      <w:r w:rsidRPr="00395DBC">
        <w:rPr>
          <w:rFonts w:ascii="Bookman Old Style" w:hAnsi="Bookman Old Style" w:cs="Arial"/>
          <w:i w:val="0"/>
          <w:spacing w:val="2"/>
        </w:rPr>
        <w:t>r</w:t>
      </w:r>
      <w:r w:rsidRPr="00395DBC">
        <w:rPr>
          <w:rFonts w:ascii="Bookman Old Style" w:hAnsi="Bookman Old Style" w:cs="Arial"/>
          <w:i w:val="0"/>
        </w:rPr>
        <w:t xml:space="preserve">e du </w:t>
      </w:r>
      <w:r w:rsidRPr="00395DBC">
        <w:rPr>
          <w:rFonts w:ascii="Bookman Old Style" w:hAnsi="Bookman Old Style" w:cs="Arial"/>
          <w:i w:val="0"/>
          <w:spacing w:val="-2"/>
        </w:rPr>
        <w:t>s</w:t>
      </w:r>
      <w:r w:rsidRPr="00395DBC">
        <w:rPr>
          <w:rFonts w:ascii="Bookman Old Style" w:hAnsi="Bookman Old Style" w:cs="Arial"/>
          <w:i w:val="0"/>
        </w:rPr>
        <w:t>uivi</w:t>
      </w:r>
      <w:r w:rsidRPr="00395DBC">
        <w:rPr>
          <w:rFonts w:ascii="Bookman Old Style" w:hAnsi="Bookman Old Style" w:cs="Arial"/>
          <w:i w:val="0"/>
          <w:spacing w:val="15"/>
        </w:rPr>
        <w:t xml:space="preserve"> </w:t>
      </w:r>
      <w:r w:rsidRPr="00395DBC">
        <w:rPr>
          <w:rFonts w:ascii="Bookman Old Style" w:hAnsi="Bookman Old Style" w:cs="Arial"/>
          <w:i w:val="0"/>
        </w:rPr>
        <w:t>d</w:t>
      </w:r>
      <w:r w:rsidRPr="00395DBC">
        <w:rPr>
          <w:rFonts w:ascii="Bookman Old Style" w:hAnsi="Bookman Old Style" w:cs="Arial"/>
          <w:i w:val="0"/>
          <w:spacing w:val="2"/>
        </w:rPr>
        <w:t>’</w:t>
      </w:r>
      <w:r w:rsidRPr="00395DBC">
        <w:rPr>
          <w:rFonts w:ascii="Bookman Old Style" w:hAnsi="Bookman Old Style" w:cs="Arial"/>
          <w:i w:val="0"/>
        </w:rPr>
        <w:t xml:space="preserve">un </w:t>
      </w:r>
      <w:r w:rsidRPr="00395DBC">
        <w:rPr>
          <w:rFonts w:ascii="Bookman Old Style" w:hAnsi="Bookman Old Style" w:cs="Arial"/>
          <w:b/>
          <w:bCs/>
          <w:i w:val="0"/>
          <w:spacing w:val="1"/>
        </w:rPr>
        <w:t>p</w:t>
      </w:r>
      <w:r w:rsidRPr="00395DBC">
        <w:rPr>
          <w:rFonts w:ascii="Bookman Old Style" w:hAnsi="Bookman Old Style" w:cs="Arial"/>
          <w:b/>
          <w:bCs/>
          <w:i w:val="0"/>
        </w:rPr>
        <w:t>a</w:t>
      </w:r>
      <w:r w:rsidRPr="00395DBC">
        <w:rPr>
          <w:rFonts w:ascii="Bookman Old Style" w:hAnsi="Bookman Old Style" w:cs="Arial"/>
          <w:b/>
          <w:bCs/>
          <w:i w:val="0"/>
          <w:spacing w:val="-1"/>
        </w:rPr>
        <w:t>rc</w:t>
      </w:r>
      <w:r w:rsidRPr="00395DBC">
        <w:rPr>
          <w:rFonts w:ascii="Bookman Old Style" w:hAnsi="Bookman Old Style" w:cs="Arial"/>
          <w:b/>
          <w:bCs/>
          <w:i w:val="0"/>
        </w:rPr>
        <w:t>o</w:t>
      </w:r>
      <w:r w:rsidRPr="00395DBC">
        <w:rPr>
          <w:rFonts w:ascii="Bookman Old Style" w:hAnsi="Bookman Old Style" w:cs="Arial"/>
          <w:b/>
          <w:bCs/>
          <w:i w:val="0"/>
          <w:spacing w:val="1"/>
        </w:rPr>
        <w:t>u</w:t>
      </w:r>
      <w:r w:rsidRPr="00395DBC">
        <w:rPr>
          <w:rFonts w:ascii="Bookman Old Style" w:hAnsi="Bookman Old Style" w:cs="Arial"/>
          <w:b/>
          <w:bCs/>
          <w:i w:val="0"/>
          <w:spacing w:val="-1"/>
        </w:rPr>
        <w:t>r</w:t>
      </w:r>
      <w:r w:rsidRPr="00395DBC">
        <w:rPr>
          <w:rFonts w:ascii="Bookman Old Style" w:hAnsi="Bookman Old Style" w:cs="Arial"/>
          <w:b/>
          <w:bCs/>
          <w:i w:val="0"/>
          <w:spacing w:val="-2"/>
        </w:rPr>
        <w:t>s</w:t>
      </w:r>
      <w:r w:rsidRPr="00395DBC">
        <w:rPr>
          <w:rFonts w:ascii="Bookman Old Style" w:hAnsi="Bookman Old Style" w:cs="Arial"/>
          <w:b/>
          <w:bCs/>
          <w:i w:val="0"/>
          <w:spacing w:val="2"/>
        </w:rPr>
        <w:t>-t</w:t>
      </w:r>
      <w:r w:rsidRPr="00395DBC">
        <w:rPr>
          <w:rFonts w:ascii="Bookman Old Style" w:hAnsi="Bookman Old Style" w:cs="Arial"/>
          <w:b/>
          <w:bCs/>
          <w:i w:val="0"/>
        </w:rPr>
        <w:t>y</w:t>
      </w:r>
      <w:r w:rsidRPr="00395DBC">
        <w:rPr>
          <w:rFonts w:ascii="Bookman Old Style" w:hAnsi="Bookman Old Style" w:cs="Arial"/>
          <w:b/>
          <w:bCs/>
          <w:i w:val="0"/>
          <w:spacing w:val="1"/>
        </w:rPr>
        <w:t>p</w:t>
      </w:r>
      <w:r w:rsidRPr="00395DBC">
        <w:rPr>
          <w:rFonts w:ascii="Bookman Old Style" w:hAnsi="Bookman Old Style" w:cs="Arial"/>
          <w:b/>
          <w:bCs/>
          <w:i w:val="0"/>
        </w:rPr>
        <w:t>e</w:t>
      </w:r>
      <w:r w:rsidRPr="00395DBC">
        <w:rPr>
          <w:rFonts w:ascii="Bookman Old Style" w:hAnsi="Bookman Old Style" w:cs="Arial"/>
          <w:b/>
          <w:bCs/>
          <w:i w:val="0"/>
          <w:spacing w:val="6"/>
        </w:rPr>
        <w:t xml:space="preserve"> </w:t>
      </w:r>
      <w:r w:rsidRPr="00395DBC">
        <w:rPr>
          <w:rFonts w:ascii="Bookman Old Style" w:hAnsi="Bookman Old Style" w:cs="Arial"/>
          <w:i w:val="0"/>
        </w:rPr>
        <w:t>de</w:t>
      </w:r>
      <w:r w:rsidRPr="00395DBC">
        <w:rPr>
          <w:rFonts w:ascii="Bookman Old Style" w:hAnsi="Bookman Old Style" w:cs="Arial"/>
          <w:i w:val="0"/>
          <w:spacing w:val="6"/>
        </w:rPr>
        <w:t xml:space="preserve"> </w:t>
      </w:r>
      <w:r w:rsidRPr="00395DBC">
        <w:rPr>
          <w:rFonts w:ascii="Bookman Old Style" w:hAnsi="Bookman Old Style" w:cs="Arial"/>
          <w:i w:val="0"/>
          <w:spacing w:val="2"/>
        </w:rPr>
        <w:t>f</w:t>
      </w:r>
      <w:r w:rsidRPr="00395DBC">
        <w:rPr>
          <w:rFonts w:ascii="Bookman Old Style" w:hAnsi="Bookman Old Style" w:cs="Arial"/>
          <w:i w:val="0"/>
        </w:rPr>
        <w:t>o</w:t>
      </w:r>
      <w:r w:rsidRPr="00395DBC">
        <w:rPr>
          <w:rFonts w:ascii="Bookman Old Style" w:hAnsi="Bookman Old Style" w:cs="Arial"/>
          <w:i w:val="0"/>
          <w:spacing w:val="2"/>
        </w:rPr>
        <w:t>r</w:t>
      </w:r>
      <w:r w:rsidRPr="00395DBC">
        <w:rPr>
          <w:rFonts w:ascii="Bookman Old Style" w:hAnsi="Bookman Old Style" w:cs="Arial"/>
          <w:i w:val="0"/>
        </w:rPr>
        <w:t>m</w:t>
      </w:r>
      <w:r w:rsidRPr="00395DBC">
        <w:rPr>
          <w:rFonts w:ascii="Bookman Old Style" w:hAnsi="Bookman Old Style" w:cs="Arial"/>
          <w:i w:val="0"/>
          <w:spacing w:val="-1"/>
        </w:rPr>
        <w:t>a</w:t>
      </w:r>
      <w:r w:rsidRPr="00395DBC">
        <w:rPr>
          <w:rFonts w:ascii="Bookman Old Style" w:hAnsi="Bookman Old Style" w:cs="Arial"/>
          <w:i w:val="0"/>
        </w:rPr>
        <w:t>tion</w:t>
      </w:r>
      <w:r w:rsidRPr="00395DBC">
        <w:rPr>
          <w:rFonts w:ascii="Bookman Old Style" w:hAnsi="Bookman Old Style" w:cs="Arial"/>
          <w:i w:val="0"/>
          <w:spacing w:val="7"/>
        </w:rPr>
        <w:t xml:space="preserve"> </w:t>
      </w:r>
      <w:r w:rsidRPr="00395DBC">
        <w:rPr>
          <w:rFonts w:ascii="Bookman Old Style" w:hAnsi="Bookman Old Style" w:cs="Arial"/>
          <w:i w:val="0"/>
          <w:spacing w:val="2"/>
        </w:rPr>
        <w:t>r</w:t>
      </w:r>
      <w:r w:rsidRPr="00395DBC">
        <w:rPr>
          <w:rFonts w:ascii="Bookman Old Style" w:hAnsi="Bookman Old Style" w:cs="Arial"/>
          <w:i w:val="0"/>
          <w:spacing w:val="-1"/>
        </w:rPr>
        <w:t>ec</w:t>
      </w:r>
      <w:r w:rsidRPr="00395DBC">
        <w:rPr>
          <w:rFonts w:ascii="Bookman Old Style" w:hAnsi="Bookman Old Style" w:cs="Arial"/>
          <w:i w:val="0"/>
        </w:rPr>
        <w:t>onnu</w:t>
      </w:r>
      <w:r w:rsidRPr="00395DBC">
        <w:rPr>
          <w:rFonts w:ascii="Bookman Old Style" w:hAnsi="Bookman Old Style" w:cs="Arial"/>
          <w:i w:val="0"/>
          <w:spacing w:val="7"/>
        </w:rPr>
        <w:t xml:space="preserve"> </w:t>
      </w:r>
      <w:r w:rsidRPr="00395DBC">
        <w:rPr>
          <w:rFonts w:ascii="Bookman Old Style" w:hAnsi="Bookman Old Style" w:cs="Arial"/>
          <w:i w:val="0"/>
        </w:rPr>
        <w:t>de</w:t>
      </w:r>
      <w:r w:rsidRPr="00395DBC">
        <w:rPr>
          <w:rFonts w:ascii="Bookman Old Style" w:hAnsi="Bookman Old Style" w:cs="Arial"/>
          <w:i w:val="0"/>
          <w:spacing w:val="6"/>
        </w:rPr>
        <w:t xml:space="preserve"> </w:t>
      </w:r>
      <w:r w:rsidRPr="00395DBC">
        <w:rPr>
          <w:rFonts w:ascii="Bookman Old Style" w:hAnsi="Bookman Old Style" w:cs="Arial"/>
          <w:i w:val="0"/>
        </w:rPr>
        <w:t>la</w:t>
      </w:r>
      <w:r w:rsidRPr="00395DBC">
        <w:rPr>
          <w:rFonts w:ascii="Bookman Old Style" w:hAnsi="Bookman Old Style" w:cs="Arial"/>
          <w:i w:val="0"/>
          <w:spacing w:val="11"/>
        </w:rPr>
        <w:t xml:space="preserve"> </w:t>
      </w:r>
      <w:r w:rsidRPr="00395DBC">
        <w:rPr>
          <w:rFonts w:ascii="Bookman Old Style" w:hAnsi="Bookman Old Style" w:cs="Arial"/>
          <w:i w:val="0"/>
          <w:spacing w:val="-2"/>
        </w:rPr>
        <w:t>M</w:t>
      </w:r>
      <w:r w:rsidRPr="00395DBC">
        <w:rPr>
          <w:rFonts w:ascii="Bookman Old Style" w:hAnsi="Bookman Old Style" w:cs="Arial"/>
          <w:i w:val="0"/>
          <w:spacing w:val="-1"/>
        </w:rPr>
        <w:t>e</w:t>
      </w:r>
      <w:r w:rsidRPr="00395DBC">
        <w:rPr>
          <w:rFonts w:ascii="Bookman Old Style" w:hAnsi="Bookman Old Style" w:cs="Arial"/>
          <w:i w:val="0"/>
        </w:rPr>
        <w:t>ntion</w:t>
      </w:r>
      <w:r w:rsidRPr="00395DBC">
        <w:rPr>
          <w:rFonts w:ascii="Bookman Old Style" w:hAnsi="Bookman Old Style" w:cs="Arial"/>
          <w:i w:val="0"/>
          <w:spacing w:val="7"/>
        </w:rPr>
        <w:t xml:space="preserve"> </w:t>
      </w:r>
      <w:r w:rsidRPr="00395DBC">
        <w:rPr>
          <w:rFonts w:ascii="Bookman Old Style" w:hAnsi="Bookman Old Style" w:cs="Arial"/>
          <w:i w:val="0"/>
          <w:spacing w:val="5"/>
        </w:rPr>
        <w:t>d</w:t>
      </w:r>
      <w:r w:rsidRPr="00395DBC">
        <w:rPr>
          <w:rFonts w:ascii="Bookman Old Style" w:hAnsi="Bookman Old Style" w:cs="Arial"/>
          <w:i w:val="0"/>
        </w:rPr>
        <w:t>e</w:t>
      </w:r>
      <w:r w:rsidRPr="00395DBC">
        <w:rPr>
          <w:rFonts w:ascii="Bookman Old Style" w:hAnsi="Bookman Old Style" w:cs="Arial"/>
          <w:i w:val="0"/>
          <w:spacing w:val="6"/>
        </w:rPr>
        <w:t xml:space="preserve"> </w:t>
      </w:r>
      <w:r w:rsidRPr="00395DBC">
        <w:rPr>
          <w:rFonts w:ascii="Bookman Old Style" w:hAnsi="Bookman Old Style" w:cs="Arial"/>
          <w:i w:val="0"/>
          <w:spacing w:val="-2"/>
        </w:rPr>
        <w:t>M</w:t>
      </w:r>
      <w:r w:rsidRPr="00395DBC">
        <w:rPr>
          <w:rFonts w:ascii="Bookman Old Style" w:hAnsi="Bookman Old Style" w:cs="Arial"/>
          <w:i w:val="0"/>
          <w:spacing w:val="4"/>
        </w:rPr>
        <w:t>a</w:t>
      </w:r>
      <w:r w:rsidRPr="00395DBC">
        <w:rPr>
          <w:rFonts w:ascii="Bookman Old Style" w:hAnsi="Bookman Old Style" w:cs="Arial"/>
          <w:i w:val="0"/>
          <w:spacing w:val="-2"/>
        </w:rPr>
        <w:t>s</w:t>
      </w:r>
      <w:r w:rsidRPr="00395DBC">
        <w:rPr>
          <w:rFonts w:ascii="Bookman Old Style" w:hAnsi="Bookman Old Style" w:cs="Arial"/>
          <w:i w:val="0"/>
        </w:rPr>
        <w:t>t</w:t>
      </w:r>
      <w:r w:rsidRPr="00395DBC">
        <w:rPr>
          <w:rFonts w:ascii="Bookman Old Style" w:hAnsi="Bookman Old Style" w:cs="Arial"/>
          <w:i w:val="0"/>
          <w:spacing w:val="-1"/>
        </w:rPr>
        <w:t>e</w:t>
      </w:r>
      <w:r w:rsidRPr="00395DBC">
        <w:rPr>
          <w:rFonts w:ascii="Bookman Old Style" w:hAnsi="Bookman Old Style" w:cs="Arial"/>
          <w:i w:val="0"/>
          <w:spacing w:val="2"/>
        </w:rPr>
        <w:t>r</w:t>
      </w:r>
      <w:r w:rsidRPr="00395DBC">
        <w:rPr>
          <w:rFonts w:ascii="Bookman Old Style" w:hAnsi="Bookman Old Style" w:cs="Arial"/>
          <w:i w:val="0"/>
        </w:rPr>
        <w:t>,</w:t>
      </w:r>
      <w:r w:rsidRPr="00395DBC">
        <w:rPr>
          <w:rFonts w:ascii="Bookman Old Style" w:hAnsi="Bookman Old Style" w:cs="Arial"/>
          <w:i w:val="0"/>
          <w:spacing w:val="10"/>
        </w:rPr>
        <w:t xml:space="preserve"> </w:t>
      </w:r>
      <w:r w:rsidRPr="00395DBC">
        <w:rPr>
          <w:rFonts w:ascii="Bookman Old Style" w:hAnsi="Bookman Old Style" w:cs="Arial"/>
          <w:i w:val="0"/>
        </w:rPr>
        <w:t>d</w:t>
      </w:r>
      <w:r w:rsidRPr="00395DBC">
        <w:rPr>
          <w:rFonts w:ascii="Bookman Old Style" w:hAnsi="Bookman Old Style" w:cs="Arial"/>
          <w:i w:val="0"/>
          <w:spacing w:val="-1"/>
        </w:rPr>
        <w:t>a</w:t>
      </w:r>
      <w:r w:rsidRPr="00395DBC">
        <w:rPr>
          <w:rFonts w:ascii="Bookman Old Style" w:hAnsi="Bookman Old Style" w:cs="Arial"/>
          <w:i w:val="0"/>
          <w:spacing w:val="10"/>
        </w:rPr>
        <w:t>n</w:t>
      </w:r>
      <w:r w:rsidRPr="00395DBC">
        <w:rPr>
          <w:rFonts w:ascii="Bookman Old Style" w:hAnsi="Bookman Old Style" w:cs="Arial"/>
          <w:i w:val="0"/>
        </w:rPr>
        <w:t>s le</w:t>
      </w:r>
      <w:r w:rsidRPr="00395DBC">
        <w:rPr>
          <w:rFonts w:ascii="Bookman Old Style" w:hAnsi="Bookman Old Style" w:cs="Arial"/>
          <w:i w:val="0"/>
          <w:spacing w:val="1"/>
        </w:rPr>
        <w:t xml:space="preserve"> </w:t>
      </w:r>
      <w:r w:rsidRPr="00395DBC">
        <w:rPr>
          <w:rFonts w:ascii="Bookman Old Style" w:hAnsi="Bookman Old Style" w:cs="Arial"/>
          <w:i w:val="0"/>
          <w:spacing w:val="2"/>
        </w:rPr>
        <w:t>r</w:t>
      </w:r>
      <w:r w:rsidRPr="00395DBC">
        <w:rPr>
          <w:rFonts w:ascii="Bookman Old Style" w:hAnsi="Bookman Old Style" w:cs="Arial"/>
          <w:i w:val="0"/>
          <w:spacing w:val="-1"/>
        </w:rPr>
        <w:t>e</w:t>
      </w:r>
      <w:r w:rsidRPr="00395DBC">
        <w:rPr>
          <w:rFonts w:ascii="Bookman Old Style" w:hAnsi="Bookman Old Style" w:cs="Arial"/>
          <w:i w:val="0"/>
          <w:spacing w:val="-2"/>
        </w:rPr>
        <w:t>s</w:t>
      </w:r>
      <w:r w:rsidRPr="00395DBC">
        <w:rPr>
          <w:rFonts w:ascii="Bookman Old Style" w:hAnsi="Bookman Old Style" w:cs="Arial"/>
          <w:i w:val="0"/>
        </w:rPr>
        <w:t>p</w:t>
      </w:r>
      <w:r w:rsidRPr="00395DBC">
        <w:rPr>
          <w:rFonts w:ascii="Bookman Old Style" w:hAnsi="Bookman Old Style" w:cs="Arial"/>
          <w:i w:val="0"/>
          <w:spacing w:val="-1"/>
        </w:rPr>
        <w:t>ec</w:t>
      </w:r>
      <w:r w:rsidRPr="00395DBC">
        <w:rPr>
          <w:rFonts w:ascii="Bookman Old Style" w:hAnsi="Bookman Old Style" w:cs="Arial"/>
          <w:i w:val="0"/>
        </w:rPr>
        <w:t>t</w:t>
      </w:r>
      <w:r w:rsidRPr="00395DBC">
        <w:rPr>
          <w:rFonts w:ascii="Bookman Old Style" w:hAnsi="Bookman Old Style" w:cs="Arial"/>
          <w:i w:val="0"/>
          <w:spacing w:val="3"/>
        </w:rPr>
        <w:t xml:space="preserve"> </w:t>
      </w:r>
      <w:r w:rsidRPr="00395DBC">
        <w:rPr>
          <w:rFonts w:ascii="Bookman Old Style" w:hAnsi="Bookman Old Style" w:cs="Arial"/>
          <w:i w:val="0"/>
        </w:rPr>
        <w:t>d</w:t>
      </w:r>
      <w:r w:rsidRPr="00395DBC">
        <w:rPr>
          <w:rFonts w:ascii="Bookman Old Style" w:hAnsi="Bookman Old Style" w:cs="Arial"/>
          <w:i w:val="0"/>
          <w:spacing w:val="-1"/>
        </w:rPr>
        <w:t>e</w:t>
      </w:r>
      <w:r w:rsidRPr="00395DBC">
        <w:rPr>
          <w:rFonts w:ascii="Bookman Old Style" w:hAnsi="Bookman Old Style" w:cs="Arial"/>
          <w:i w:val="0"/>
        </w:rPr>
        <w:t xml:space="preserve">s </w:t>
      </w:r>
      <w:r w:rsidRPr="00395DBC">
        <w:rPr>
          <w:rFonts w:ascii="Bookman Old Style" w:hAnsi="Bookman Old Style" w:cs="Arial"/>
          <w:i w:val="0"/>
          <w:spacing w:val="2"/>
        </w:rPr>
        <w:t>r</w:t>
      </w:r>
      <w:r w:rsidRPr="00395DBC">
        <w:rPr>
          <w:rFonts w:ascii="Bookman Old Style" w:hAnsi="Bookman Old Style" w:cs="Arial"/>
          <w:i w:val="0"/>
          <w:spacing w:val="-1"/>
        </w:rPr>
        <w:t>è</w:t>
      </w:r>
      <w:r w:rsidRPr="00395DBC">
        <w:rPr>
          <w:rFonts w:ascii="Bookman Old Style" w:hAnsi="Bookman Old Style" w:cs="Arial"/>
          <w:i w:val="0"/>
        </w:rPr>
        <w:t>gl</w:t>
      </w:r>
      <w:r w:rsidRPr="00395DBC">
        <w:rPr>
          <w:rFonts w:ascii="Bookman Old Style" w:hAnsi="Bookman Old Style" w:cs="Arial"/>
          <w:i w:val="0"/>
          <w:spacing w:val="-1"/>
        </w:rPr>
        <w:t>e</w:t>
      </w:r>
      <w:r w:rsidRPr="00395DBC">
        <w:rPr>
          <w:rFonts w:ascii="Bookman Old Style" w:hAnsi="Bookman Old Style" w:cs="Arial"/>
          <w:i w:val="0"/>
        </w:rPr>
        <w:t>s impo</w:t>
      </w:r>
      <w:r w:rsidRPr="00395DBC">
        <w:rPr>
          <w:rFonts w:ascii="Bookman Old Style" w:hAnsi="Bookman Old Style" w:cs="Arial"/>
          <w:i w:val="0"/>
          <w:spacing w:val="-2"/>
        </w:rPr>
        <w:t>s</w:t>
      </w:r>
      <w:r w:rsidRPr="00395DBC">
        <w:rPr>
          <w:rFonts w:ascii="Bookman Old Style" w:hAnsi="Bookman Old Style" w:cs="Arial"/>
          <w:i w:val="0"/>
          <w:spacing w:val="-1"/>
        </w:rPr>
        <w:t>ée</w:t>
      </w:r>
      <w:r w:rsidRPr="00395DBC">
        <w:rPr>
          <w:rFonts w:ascii="Bookman Old Style" w:hAnsi="Bookman Old Style" w:cs="Arial"/>
          <w:i w:val="0"/>
        </w:rPr>
        <w:t>s d</w:t>
      </w:r>
      <w:r w:rsidRPr="00395DBC">
        <w:rPr>
          <w:rFonts w:ascii="Bookman Old Style" w:hAnsi="Bookman Old Style" w:cs="Arial"/>
          <w:i w:val="0"/>
          <w:spacing w:val="-1"/>
        </w:rPr>
        <w:t>a</w:t>
      </w:r>
      <w:r w:rsidRPr="00395DBC">
        <w:rPr>
          <w:rFonts w:ascii="Bookman Old Style" w:hAnsi="Bookman Old Style" w:cs="Arial"/>
          <w:i w:val="0"/>
        </w:rPr>
        <w:t>ns la</w:t>
      </w:r>
      <w:r w:rsidRPr="00395DBC">
        <w:rPr>
          <w:rFonts w:ascii="Bookman Old Style" w:hAnsi="Bookman Old Style" w:cs="Arial"/>
          <w:i w:val="0"/>
          <w:spacing w:val="1"/>
        </w:rPr>
        <w:t xml:space="preserve"> </w:t>
      </w:r>
      <w:r w:rsidRPr="00395DBC">
        <w:rPr>
          <w:rFonts w:ascii="Bookman Old Style" w:hAnsi="Bookman Old Style" w:cs="Arial"/>
          <w:i w:val="0"/>
        </w:rPr>
        <w:t>m</w:t>
      </w:r>
      <w:r w:rsidRPr="00395DBC">
        <w:rPr>
          <w:rFonts w:ascii="Bookman Old Style" w:hAnsi="Bookman Old Style" w:cs="Arial"/>
          <w:i w:val="0"/>
          <w:spacing w:val="-1"/>
        </w:rPr>
        <w:t>a</w:t>
      </w:r>
      <w:r w:rsidRPr="00395DBC">
        <w:rPr>
          <w:rFonts w:ascii="Bookman Old Style" w:hAnsi="Bookman Old Style" w:cs="Arial"/>
          <w:i w:val="0"/>
        </w:rPr>
        <w:t>qu</w:t>
      </w:r>
      <w:r w:rsidRPr="00395DBC">
        <w:rPr>
          <w:rFonts w:ascii="Bookman Old Style" w:hAnsi="Bookman Old Style" w:cs="Arial"/>
          <w:i w:val="0"/>
          <w:spacing w:val="-1"/>
        </w:rPr>
        <w:t>e</w:t>
      </w:r>
      <w:r w:rsidRPr="00395DBC">
        <w:rPr>
          <w:rFonts w:ascii="Bookman Old Style" w:hAnsi="Bookman Old Style" w:cs="Arial"/>
          <w:i w:val="0"/>
        </w:rPr>
        <w:t>tte</w:t>
      </w:r>
      <w:r w:rsidRPr="00395DBC">
        <w:rPr>
          <w:rFonts w:ascii="Bookman Old Style" w:hAnsi="Bookman Old Style" w:cs="Arial"/>
          <w:i w:val="0"/>
          <w:spacing w:val="1"/>
        </w:rPr>
        <w:t xml:space="preserve"> </w:t>
      </w:r>
      <w:r w:rsidRPr="00395DBC">
        <w:rPr>
          <w:rFonts w:ascii="Bookman Old Style" w:hAnsi="Bookman Old Style" w:cs="Arial"/>
          <w:i w:val="0"/>
        </w:rPr>
        <w:t>de</w:t>
      </w:r>
      <w:r w:rsidRPr="00395DBC">
        <w:rPr>
          <w:rFonts w:ascii="Bookman Old Style" w:hAnsi="Bookman Old Style" w:cs="Arial"/>
          <w:i w:val="0"/>
          <w:spacing w:val="-3"/>
        </w:rPr>
        <w:t xml:space="preserve"> </w:t>
      </w:r>
      <w:r w:rsidRPr="00395DBC">
        <w:rPr>
          <w:rFonts w:ascii="Bookman Old Style" w:hAnsi="Bookman Old Style" w:cs="Arial"/>
          <w:i w:val="0"/>
          <w:spacing w:val="2"/>
        </w:rPr>
        <w:t>f</w:t>
      </w:r>
      <w:r w:rsidRPr="00395DBC">
        <w:rPr>
          <w:rFonts w:ascii="Bookman Old Style" w:hAnsi="Bookman Old Style" w:cs="Arial"/>
          <w:i w:val="0"/>
        </w:rPr>
        <w:t>o</w:t>
      </w:r>
      <w:r w:rsidRPr="00395DBC">
        <w:rPr>
          <w:rFonts w:ascii="Bookman Old Style" w:hAnsi="Bookman Old Style" w:cs="Arial"/>
          <w:i w:val="0"/>
          <w:spacing w:val="2"/>
        </w:rPr>
        <w:t>r</w:t>
      </w:r>
      <w:r w:rsidRPr="00395DBC">
        <w:rPr>
          <w:rFonts w:ascii="Bookman Old Style" w:hAnsi="Bookman Old Style" w:cs="Arial"/>
          <w:i w:val="0"/>
        </w:rPr>
        <w:t>m</w:t>
      </w:r>
      <w:r w:rsidRPr="00395DBC">
        <w:rPr>
          <w:rFonts w:ascii="Bookman Old Style" w:hAnsi="Bookman Old Style" w:cs="Arial"/>
          <w:i w:val="0"/>
          <w:spacing w:val="-1"/>
        </w:rPr>
        <w:t>a</w:t>
      </w:r>
      <w:r w:rsidRPr="00395DBC">
        <w:rPr>
          <w:rFonts w:ascii="Bookman Old Style" w:hAnsi="Bookman Old Style" w:cs="Arial"/>
          <w:i w:val="0"/>
        </w:rPr>
        <w:t>tion. Un p</w:t>
      </w:r>
      <w:r w:rsidRPr="00395DBC">
        <w:rPr>
          <w:rFonts w:ascii="Bookman Old Style" w:hAnsi="Bookman Old Style" w:cs="Arial"/>
          <w:i w:val="0"/>
          <w:spacing w:val="-1"/>
        </w:rPr>
        <w:t>a</w:t>
      </w:r>
      <w:r w:rsidRPr="00395DBC">
        <w:rPr>
          <w:rFonts w:ascii="Bookman Old Style" w:hAnsi="Bookman Old Style" w:cs="Arial"/>
          <w:i w:val="0"/>
          <w:spacing w:val="2"/>
        </w:rPr>
        <w:t>r</w:t>
      </w:r>
      <w:r w:rsidRPr="00395DBC">
        <w:rPr>
          <w:rFonts w:ascii="Bookman Old Style" w:hAnsi="Bookman Old Style" w:cs="Arial"/>
          <w:i w:val="0"/>
          <w:spacing w:val="-1"/>
        </w:rPr>
        <w:t>c</w:t>
      </w:r>
      <w:r w:rsidRPr="00395DBC">
        <w:rPr>
          <w:rFonts w:ascii="Bookman Old Style" w:hAnsi="Bookman Old Style" w:cs="Arial"/>
          <w:i w:val="0"/>
        </w:rPr>
        <w:t>ou</w:t>
      </w:r>
      <w:r w:rsidRPr="00395DBC">
        <w:rPr>
          <w:rFonts w:ascii="Bookman Old Style" w:hAnsi="Bookman Old Style" w:cs="Arial"/>
          <w:i w:val="0"/>
          <w:spacing w:val="2"/>
        </w:rPr>
        <w:t>r</w:t>
      </w:r>
      <w:r w:rsidRPr="00395DBC">
        <w:rPr>
          <w:rFonts w:ascii="Bookman Old Style" w:hAnsi="Bookman Old Style" w:cs="Arial"/>
          <w:i w:val="0"/>
        </w:rPr>
        <w:t>s-type</w:t>
      </w:r>
      <w:r w:rsidRPr="00395DBC">
        <w:rPr>
          <w:rFonts w:ascii="Bookman Old Style" w:hAnsi="Bookman Old Style" w:cs="Arial"/>
          <w:i w:val="0"/>
          <w:spacing w:val="22"/>
        </w:rPr>
        <w:t xml:space="preserve"> </w:t>
      </w:r>
      <w:r w:rsidRPr="00395DBC">
        <w:rPr>
          <w:rFonts w:ascii="Bookman Old Style" w:hAnsi="Bookman Old Style" w:cs="Arial"/>
          <w:i w:val="0"/>
        </w:rPr>
        <w:t xml:space="preserve">de </w:t>
      </w:r>
      <w:r w:rsidRPr="00395DBC">
        <w:rPr>
          <w:rFonts w:ascii="Bookman Old Style" w:hAnsi="Bookman Old Style" w:cs="Arial"/>
          <w:i w:val="0"/>
          <w:spacing w:val="2"/>
        </w:rPr>
        <w:t>f</w:t>
      </w:r>
      <w:r w:rsidRPr="00395DBC">
        <w:rPr>
          <w:rFonts w:ascii="Bookman Old Style" w:hAnsi="Bookman Old Style" w:cs="Arial"/>
          <w:i w:val="0"/>
        </w:rPr>
        <w:t>o</w:t>
      </w:r>
      <w:r w:rsidRPr="00395DBC">
        <w:rPr>
          <w:rFonts w:ascii="Bookman Old Style" w:hAnsi="Bookman Old Style" w:cs="Arial"/>
          <w:i w:val="0"/>
          <w:spacing w:val="2"/>
        </w:rPr>
        <w:t>r</w:t>
      </w:r>
      <w:r w:rsidRPr="00395DBC">
        <w:rPr>
          <w:rFonts w:ascii="Bookman Old Style" w:hAnsi="Bookman Old Style" w:cs="Arial"/>
          <w:i w:val="0"/>
        </w:rPr>
        <w:t>m</w:t>
      </w:r>
      <w:r w:rsidRPr="00395DBC">
        <w:rPr>
          <w:rFonts w:ascii="Bookman Old Style" w:hAnsi="Bookman Old Style" w:cs="Arial"/>
          <w:i w:val="0"/>
          <w:spacing w:val="-1"/>
        </w:rPr>
        <w:t>a</w:t>
      </w:r>
      <w:r w:rsidRPr="00395DBC">
        <w:rPr>
          <w:rFonts w:ascii="Bookman Old Style" w:hAnsi="Bookman Old Style" w:cs="Arial"/>
          <w:i w:val="0"/>
        </w:rPr>
        <w:t>tion ob</w:t>
      </w:r>
      <w:r w:rsidRPr="00395DBC">
        <w:rPr>
          <w:rFonts w:ascii="Bookman Old Style" w:hAnsi="Bookman Old Style" w:cs="Arial"/>
          <w:i w:val="0"/>
          <w:spacing w:val="-1"/>
        </w:rPr>
        <w:t>é</w:t>
      </w:r>
      <w:r w:rsidRPr="00395DBC">
        <w:rPr>
          <w:rFonts w:ascii="Bookman Old Style" w:hAnsi="Bookman Old Style" w:cs="Arial"/>
          <w:i w:val="0"/>
        </w:rPr>
        <w:t>it à d</w:t>
      </w:r>
      <w:r w:rsidRPr="00395DBC">
        <w:rPr>
          <w:rFonts w:ascii="Bookman Old Style" w:hAnsi="Bookman Old Style" w:cs="Arial"/>
          <w:i w:val="0"/>
          <w:spacing w:val="-1"/>
        </w:rPr>
        <w:t>e</w:t>
      </w:r>
      <w:r w:rsidRPr="00395DBC">
        <w:rPr>
          <w:rFonts w:ascii="Bookman Old Style" w:hAnsi="Bookman Old Style" w:cs="Arial"/>
          <w:i w:val="0"/>
        </w:rPr>
        <w:t xml:space="preserve">s </w:t>
      </w:r>
      <w:r w:rsidRPr="00395DBC">
        <w:rPr>
          <w:rFonts w:ascii="Bookman Old Style" w:hAnsi="Bookman Old Style" w:cs="Arial"/>
          <w:i w:val="0"/>
          <w:spacing w:val="2"/>
        </w:rPr>
        <w:t>r</w:t>
      </w:r>
      <w:r w:rsidRPr="00395DBC">
        <w:rPr>
          <w:rFonts w:ascii="Bookman Old Style" w:hAnsi="Bookman Old Style" w:cs="Arial"/>
          <w:i w:val="0"/>
          <w:spacing w:val="-1"/>
        </w:rPr>
        <w:t>è</w:t>
      </w:r>
      <w:r w:rsidRPr="00395DBC">
        <w:rPr>
          <w:rFonts w:ascii="Bookman Old Style" w:hAnsi="Bookman Old Style" w:cs="Arial"/>
          <w:i w:val="0"/>
        </w:rPr>
        <w:t>gl</w:t>
      </w:r>
      <w:r w:rsidRPr="00395DBC">
        <w:rPr>
          <w:rFonts w:ascii="Bookman Old Style" w:hAnsi="Bookman Old Style" w:cs="Arial"/>
          <w:i w:val="0"/>
          <w:spacing w:val="-1"/>
        </w:rPr>
        <w:t>e</w:t>
      </w:r>
      <w:r w:rsidRPr="00395DBC">
        <w:rPr>
          <w:rFonts w:ascii="Bookman Old Style" w:hAnsi="Bookman Old Style" w:cs="Arial"/>
          <w:i w:val="0"/>
        </w:rPr>
        <w:t>s de p</w:t>
      </w:r>
      <w:r w:rsidRPr="00395DBC">
        <w:rPr>
          <w:rFonts w:ascii="Bookman Old Style" w:hAnsi="Bookman Old Style" w:cs="Arial"/>
          <w:i w:val="0"/>
          <w:spacing w:val="2"/>
        </w:rPr>
        <w:t>r</w:t>
      </w:r>
      <w:r w:rsidRPr="00395DBC">
        <w:rPr>
          <w:rFonts w:ascii="Bookman Old Style" w:hAnsi="Bookman Old Style" w:cs="Arial"/>
          <w:i w:val="0"/>
        </w:rPr>
        <w:t>og</w:t>
      </w:r>
      <w:r w:rsidRPr="00395DBC">
        <w:rPr>
          <w:rFonts w:ascii="Bookman Old Style" w:hAnsi="Bookman Old Style" w:cs="Arial"/>
          <w:i w:val="0"/>
          <w:spacing w:val="2"/>
        </w:rPr>
        <w:t>r</w:t>
      </w:r>
      <w:r w:rsidRPr="00395DBC">
        <w:rPr>
          <w:rFonts w:ascii="Bookman Old Style" w:hAnsi="Bookman Old Style" w:cs="Arial"/>
          <w:i w:val="0"/>
          <w:spacing w:val="-1"/>
        </w:rPr>
        <w:t>e</w:t>
      </w:r>
      <w:r w:rsidRPr="00395DBC">
        <w:rPr>
          <w:rFonts w:ascii="Bookman Old Style" w:hAnsi="Bookman Old Style" w:cs="Arial"/>
          <w:i w:val="0"/>
          <w:spacing w:val="-2"/>
        </w:rPr>
        <w:t>ss</w:t>
      </w:r>
      <w:r w:rsidRPr="00395DBC">
        <w:rPr>
          <w:rFonts w:ascii="Bookman Old Style" w:hAnsi="Bookman Old Style" w:cs="Arial"/>
          <w:i w:val="0"/>
        </w:rPr>
        <w:t>ion b</w:t>
      </w:r>
      <w:r w:rsidRPr="00395DBC">
        <w:rPr>
          <w:rFonts w:ascii="Bookman Old Style" w:hAnsi="Bookman Old Style" w:cs="Arial"/>
          <w:i w:val="0"/>
          <w:spacing w:val="-1"/>
        </w:rPr>
        <w:t>a</w:t>
      </w:r>
      <w:r w:rsidRPr="00395DBC">
        <w:rPr>
          <w:rFonts w:ascii="Bookman Old Style" w:hAnsi="Bookman Old Style" w:cs="Arial"/>
          <w:i w:val="0"/>
          <w:spacing w:val="-2"/>
        </w:rPr>
        <w:t>s</w:t>
      </w:r>
      <w:r w:rsidRPr="00395DBC">
        <w:rPr>
          <w:rFonts w:ascii="Bookman Old Style" w:hAnsi="Bookman Old Style" w:cs="Arial"/>
          <w:i w:val="0"/>
          <w:spacing w:val="-1"/>
        </w:rPr>
        <w:t>ée</w:t>
      </w:r>
      <w:r w:rsidRPr="00395DBC">
        <w:rPr>
          <w:rFonts w:ascii="Bookman Old Style" w:hAnsi="Bookman Old Style" w:cs="Arial"/>
          <w:i w:val="0"/>
        </w:rPr>
        <w:t xml:space="preserve">s </w:t>
      </w:r>
      <w:r w:rsidRPr="00395DBC">
        <w:rPr>
          <w:rFonts w:ascii="Bookman Old Style" w:hAnsi="Bookman Old Style" w:cs="Arial"/>
          <w:i w:val="0"/>
          <w:spacing w:val="-2"/>
        </w:rPr>
        <w:t>s</w:t>
      </w:r>
      <w:r w:rsidRPr="00395DBC">
        <w:rPr>
          <w:rFonts w:ascii="Bookman Old Style" w:hAnsi="Bookman Old Style" w:cs="Arial"/>
          <w:i w:val="0"/>
        </w:rPr>
        <w:t xml:space="preserve">ur une </w:t>
      </w:r>
      <w:r w:rsidRPr="00395DBC">
        <w:rPr>
          <w:rFonts w:ascii="Bookman Old Style" w:hAnsi="Bookman Old Style" w:cs="Arial"/>
          <w:i w:val="0"/>
          <w:spacing w:val="-2"/>
        </w:rPr>
        <w:t>s</w:t>
      </w:r>
      <w:r w:rsidRPr="00395DBC">
        <w:rPr>
          <w:rFonts w:ascii="Bookman Old Style" w:hAnsi="Bookman Old Style" w:cs="Arial"/>
          <w:i w:val="0"/>
        </w:rPr>
        <w:t>t</w:t>
      </w:r>
      <w:r w:rsidRPr="00395DBC">
        <w:rPr>
          <w:rFonts w:ascii="Bookman Old Style" w:hAnsi="Bookman Old Style" w:cs="Arial"/>
          <w:i w:val="0"/>
          <w:spacing w:val="2"/>
        </w:rPr>
        <w:t>r</w:t>
      </w:r>
      <w:r w:rsidRPr="00395DBC">
        <w:rPr>
          <w:rFonts w:ascii="Bookman Old Style" w:hAnsi="Bookman Old Style" w:cs="Arial"/>
          <w:i w:val="0"/>
        </w:rPr>
        <w:t>u</w:t>
      </w:r>
      <w:r w:rsidRPr="00395DBC">
        <w:rPr>
          <w:rFonts w:ascii="Bookman Old Style" w:hAnsi="Bookman Old Style" w:cs="Arial"/>
          <w:i w:val="0"/>
          <w:spacing w:val="-1"/>
        </w:rPr>
        <w:t>c</w:t>
      </w:r>
      <w:r w:rsidRPr="00395DBC">
        <w:rPr>
          <w:rFonts w:ascii="Bookman Old Style" w:hAnsi="Bookman Old Style" w:cs="Arial"/>
          <w:i w:val="0"/>
        </w:rPr>
        <w:t>tu</w:t>
      </w:r>
      <w:r w:rsidRPr="00395DBC">
        <w:rPr>
          <w:rFonts w:ascii="Bookman Old Style" w:hAnsi="Bookman Old Style" w:cs="Arial"/>
          <w:i w:val="0"/>
          <w:spacing w:val="2"/>
        </w:rPr>
        <w:t>r</w:t>
      </w:r>
      <w:r w:rsidRPr="00395DBC">
        <w:rPr>
          <w:rFonts w:ascii="Bookman Old Style" w:hAnsi="Bookman Old Style" w:cs="Arial"/>
          <w:i w:val="0"/>
        </w:rPr>
        <w:t>e d</w:t>
      </w:r>
      <w:r w:rsidRPr="00395DBC">
        <w:rPr>
          <w:rFonts w:ascii="Bookman Old Style" w:hAnsi="Bookman Old Style" w:cs="Arial"/>
          <w:i w:val="0"/>
          <w:spacing w:val="4"/>
        </w:rPr>
        <w:t>e</w:t>
      </w:r>
      <w:r w:rsidRPr="00395DBC">
        <w:rPr>
          <w:rFonts w:ascii="Bookman Old Style" w:hAnsi="Bookman Old Style" w:cs="Arial"/>
          <w:i w:val="0"/>
        </w:rPr>
        <w:t xml:space="preserve">s </w:t>
      </w:r>
      <w:r w:rsidRPr="00395DBC">
        <w:rPr>
          <w:rFonts w:ascii="Bookman Old Style" w:hAnsi="Bookman Old Style" w:cs="Arial"/>
          <w:i w:val="0"/>
          <w:spacing w:val="-1"/>
        </w:rPr>
        <w:t>e</w:t>
      </w:r>
      <w:r w:rsidRPr="00395DBC">
        <w:rPr>
          <w:rFonts w:ascii="Bookman Old Style" w:hAnsi="Bookman Old Style" w:cs="Arial"/>
          <w:i w:val="0"/>
        </w:rPr>
        <w:t>n</w:t>
      </w:r>
      <w:r w:rsidRPr="00395DBC">
        <w:rPr>
          <w:rFonts w:ascii="Bookman Old Style" w:hAnsi="Bookman Old Style" w:cs="Arial"/>
          <w:i w:val="0"/>
          <w:spacing w:val="-2"/>
        </w:rPr>
        <w:t>s</w:t>
      </w:r>
      <w:r w:rsidRPr="00395DBC">
        <w:rPr>
          <w:rFonts w:ascii="Bookman Old Style" w:hAnsi="Bookman Old Style" w:cs="Arial"/>
          <w:i w:val="0"/>
          <w:spacing w:val="-1"/>
        </w:rPr>
        <w:t>e</w:t>
      </w:r>
      <w:r w:rsidRPr="00395DBC">
        <w:rPr>
          <w:rFonts w:ascii="Bookman Old Style" w:hAnsi="Bookman Old Style" w:cs="Arial"/>
          <w:i w:val="0"/>
        </w:rPr>
        <w:t>ign</w:t>
      </w:r>
      <w:r w:rsidRPr="00395DBC">
        <w:rPr>
          <w:rFonts w:ascii="Bookman Old Style" w:hAnsi="Bookman Old Style" w:cs="Arial"/>
          <w:i w:val="0"/>
          <w:spacing w:val="-1"/>
        </w:rPr>
        <w:t>e</w:t>
      </w:r>
      <w:r w:rsidRPr="00395DBC">
        <w:rPr>
          <w:rFonts w:ascii="Bookman Old Style" w:hAnsi="Bookman Old Style" w:cs="Arial"/>
          <w:i w:val="0"/>
        </w:rPr>
        <w:t>m</w:t>
      </w:r>
      <w:r w:rsidRPr="00395DBC">
        <w:rPr>
          <w:rFonts w:ascii="Bookman Old Style" w:hAnsi="Bookman Old Style" w:cs="Arial"/>
          <w:i w:val="0"/>
          <w:spacing w:val="-1"/>
        </w:rPr>
        <w:t>e</w:t>
      </w:r>
      <w:r w:rsidRPr="00395DBC">
        <w:rPr>
          <w:rFonts w:ascii="Bookman Old Style" w:hAnsi="Bookman Old Style" w:cs="Arial"/>
          <w:i w:val="0"/>
        </w:rPr>
        <w:t>nts d</w:t>
      </w:r>
      <w:r w:rsidRPr="00395DBC">
        <w:rPr>
          <w:rFonts w:ascii="Bookman Old Style" w:hAnsi="Bookman Old Style" w:cs="Arial"/>
          <w:i w:val="0"/>
          <w:spacing w:val="-1"/>
        </w:rPr>
        <w:t>éc</w:t>
      </w:r>
      <w:r w:rsidRPr="00395DBC">
        <w:rPr>
          <w:rFonts w:ascii="Bookman Old Style" w:hAnsi="Bookman Old Style" w:cs="Arial"/>
          <w:i w:val="0"/>
        </w:rPr>
        <w:t>oup</w:t>
      </w:r>
      <w:r w:rsidRPr="00395DBC">
        <w:rPr>
          <w:rFonts w:ascii="Bookman Old Style" w:hAnsi="Bookman Old Style" w:cs="Arial"/>
          <w:i w:val="0"/>
          <w:spacing w:val="4"/>
        </w:rPr>
        <w:t>é</w:t>
      </w:r>
      <w:r w:rsidRPr="00395DBC">
        <w:rPr>
          <w:rFonts w:ascii="Bookman Old Style" w:hAnsi="Bookman Old Style" w:cs="Arial"/>
          <w:i w:val="0"/>
        </w:rPr>
        <w:t>e</w:t>
      </w:r>
      <w:r w:rsidRPr="00395DBC">
        <w:rPr>
          <w:rFonts w:ascii="Bookman Old Style" w:hAnsi="Bookman Old Style" w:cs="Arial"/>
          <w:i w:val="0"/>
          <w:spacing w:val="1"/>
        </w:rPr>
        <w:t xml:space="preserve"> </w:t>
      </w:r>
      <w:r w:rsidRPr="00395DBC">
        <w:rPr>
          <w:rFonts w:ascii="Bookman Old Style" w:hAnsi="Bookman Old Style" w:cs="Arial"/>
          <w:i w:val="0"/>
          <w:spacing w:val="-1"/>
        </w:rPr>
        <w:t>e</w:t>
      </w:r>
      <w:r w:rsidRPr="00395DBC">
        <w:rPr>
          <w:rFonts w:ascii="Bookman Old Style" w:hAnsi="Bookman Old Style" w:cs="Arial"/>
          <w:i w:val="0"/>
        </w:rPr>
        <w:t>n</w:t>
      </w:r>
      <w:r w:rsidRPr="00395DBC">
        <w:rPr>
          <w:rFonts w:ascii="Bookman Old Style" w:hAnsi="Bookman Old Style" w:cs="Arial"/>
          <w:i w:val="0"/>
          <w:spacing w:val="2"/>
        </w:rPr>
        <w:t xml:space="preserve"> </w:t>
      </w:r>
      <w:r w:rsidRPr="00395DBC">
        <w:rPr>
          <w:rFonts w:ascii="Bookman Old Style" w:hAnsi="Bookman Old Style" w:cs="Arial"/>
          <w:i w:val="0"/>
        </w:rPr>
        <w:t>4</w:t>
      </w:r>
      <w:r w:rsidRPr="00395DBC">
        <w:rPr>
          <w:rFonts w:ascii="Bookman Old Style" w:hAnsi="Bookman Old Style" w:cs="Arial"/>
          <w:i w:val="0"/>
          <w:spacing w:val="2"/>
        </w:rPr>
        <w:t xml:space="preserve"> </w:t>
      </w:r>
      <w:r w:rsidRPr="00395DBC">
        <w:rPr>
          <w:rFonts w:ascii="Bookman Old Style" w:hAnsi="Bookman Old Style" w:cs="Arial"/>
          <w:i w:val="0"/>
          <w:spacing w:val="-2"/>
        </w:rPr>
        <w:t>s</w:t>
      </w:r>
      <w:r w:rsidRPr="00395DBC">
        <w:rPr>
          <w:rFonts w:ascii="Bookman Old Style" w:hAnsi="Bookman Old Style" w:cs="Arial"/>
          <w:i w:val="0"/>
          <w:spacing w:val="-1"/>
        </w:rPr>
        <w:t>e</w:t>
      </w:r>
      <w:r w:rsidRPr="00395DBC">
        <w:rPr>
          <w:rFonts w:ascii="Bookman Old Style" w:hAnsi="Bookman Old Style" w:cs="Arial"/>
          <w:i w:val="0"/>
        </w:rPr>
        <w:t>m</w:t>
      </w:r>
      <w:r w:rsidRPr="00395DBC">
        <w:rPr>
          <w:rFonts w:ascii="Bookman Old Style" w:hAnsi="Bookman Old Style" w:cs="Arial"/>
          <w:i w:val="0"/>
          <w:spacing w:val="-1"/>
        </w:rPr>
        <w:t>e</w:t>
      </w:r>
      <w:r w:rsidRPr="00395DBC">
        <w:rPr>
          <w:rFonts w:ascii="Bookman Old Style" w:hAnsi="Bookman Old Style" w:cs="Arial"/>
          <w:i w:val="0"/>
          <w:spacing w:val="-2"/>
        </w:rPr>
        <w:t>s</w:t>
      </w:r>
      <w:r w:rsidRPr="00395DBC">
        <w:rPr>
          <w:rFonts w:ascii="Bookman Old Style" w:hAnsi="Bookman Old Style" w:cs="Arial"/>
          <w:i w:val="0"/>
        </w:rPr>
        <w:t>t</w:t>
      </w:r>
      <w:r w:rsidRPr="00395DBC">
        <w:rPr>
          <w:rFonts w:ascii="Bookman Old Style" w:hAnsi="Bookman Old Style" w:cs="Arial"/>
          <w:i w:val="0"/>
          <w:spacing w:val="2"/>
        </w:rPr>
        <w:t>r</w:t>
      </w:r>
      <w:r w:rsidRPr="00395DBC">
        <w:rPr>
          <w:rFonts w:ascii="Bookman Old Style" w:hAnsi="Bookman Old Style" w:cs="Arial"/>
          <w:i w:val="0"/>
          <w:spacing w:val="-1"/>
        </w:rPr>
        <w:t>e</w:t>
      </w:r>
      <w:r w:rsidRPr="00395DBC">
        <w:rPr>
          <w:rFonts w:ascii="Bookman Old Style" w:hAnsi="Bookman Old Style" w:cs="Arial"/>
          <w:i w:val="0"/>
          <w:spacing w:val="-2"/>
        </w:rPr>
        <w:t>s</w:t>
      </w:r>
      <w:r w:rsidRPr="00395DBC">
        <w:rPr>
          <w:rFonts w:ascii="Bookman Old Style" w:hAnsi="Bookman Old Style" w:cs="Arial"/>
          <w:i w:val="0"/>
        </w:rPr>
        <w:t>.</w:t>
      </w:r>
      <w:r w:rsidRPr="00395DBC">
        <w:rPr>
          <w:rFonts w:ascii="Bookman Old Style" w:hAnsi="Bookman Old Style" w:cs="Arial"/>
          <w:i w:val="0"/>
          <w:spacing w:val="5"/>
        </w:rPr>
        <w:t xml:space="preserve"> </w:t>
      </w:r>
      <w:r w:rsidRPr="00395DBC">
        <w:rPr>
          <w:rFonts w:ascii="Bookman Old Style" w:hAnsi="Bookman Old Style" w:cs="Arial"/>
          <w:i w:val="0"/>
        </w:rPr>
        <w:t>Un</w:t>
      </w:r>
      <w:r w:rsidRPr="00395DBC">
        <w:rPr>
          <w:rFonts w:ascii="Bookman Old Style" w:hAnsi="Bookman Old Style" w:cs="Arial"/>
          <w:i w:val="0"/>
          <w:spacing w:val="2"/>
        </w:rPr>
        <w:t xml:space="preserve"> </w:t>
      </w:r>
      <w:r w:rsidRPr="00395DBC">
        <w:rPr>
          <w:rFonts w:ascii="Bookman Old Style" w:hAnsi="Bookman Old Style" w:cs="Arial"/>
          <w:i w:val="0"/>
          <w:spacing w:val="-2"/>
        </w:rPr>
        <w:t>s</w:t>
      </w:r>
      <w:r w:rsidRPr="00395DBC">
        <w:rPr>
          <w:rFonts w:ascii="Bookman Old Style" w:hAnsi="Bookman Old Style" w:cs="Arial"/>
          <w:i w:val="0"/>
          <w:spacing w:val="-1"/>
        </w:rPr>
        <w:t>e</w:t>
      </w:r>
      <w:r w:rsidRPr="00395DBC">
        <w:rPr>
          <w:rFonts w:ascii="Bookman Old Style" w:hAnsi="Bookman Old Style" w:cs="Arial"/>
          <w:i w:val="0"/>
        </w:rPr>
        <w:t>m</w:t>
      </w:r>
      <w:r w:rsidRPr="00395DBC">
        <w:rPr>
          <w:rFonts w:ascii="Bookman Old Style" w:hAnsi="Bookman Old Style" w:cs="Arial"/>
          <w:i w:val="0"/>
          <w:spacing w:val="-1"/>
        </w:rPr>
        <w:t>e</w:t>
      </w:r>
      <w:r w:rsidRPr="00395DBC">
        <w:rPr>
          <w:rFonts w:ascii="Bookman Old Style" w:hAnsi="Bookman Old Style" w:cs="Arial"/>
          <w:i w:val="0"/>
          <w:spacing w:val="-2"/>
        </w:rPr>
        <w:t>s</w:t>
      </w:r>
      <w:r w:rsidRPr="00395DBC">
        <w:rPr>
          <w:rFonts w:ascii="Bookman Old Style" w:hAnsi="Bookman Old Style" w:cs="Arial"/>
          <w:i w:val="0"/>
        </w:rPr>
        <w:t>t</w:t>
      </w:r>
      <w:r w:rsidRPr="00395DBC">
        <w:rPr>
          <w:rFonts w:ascii="Bookman Old Style" w:hAnsi="Bookman Old Style" w:cs="Arial"/>
          <w:i w:val="0"/>
          <w:spacing w:val="2"/>
        </w:rPr>
        <w:t>r</w:t>
      </w:r>
      <w:r w:rsidRPr="00395DBC">
        <w:rPr>
          <w:rFonts w:ascii="Bookman Old Style" w:hAnsi="Bookman Old Style" w:cs="Arial"/>
          <w:i w:val="0"/>
        </w:rPr>
        <w:t>e</w:t>
      </w:r>
      <w:r w:rsidRPr="00395DBC">
        <w:rPr>
          <w:rFonts w:ascii="Bookman Old Style" w:hAnsi="Bookman Old Style" w:cs="Arial"/>
          <w:i w:val="0"/>
          <w:spacing w:val="1"/>
        </w:rPr>
        <w:t xml:space="preserve"> </w:t>
      </w:r>
      <w:r w:rsidRPr="00395DBC">
        <w:rPr>
          <w:rFonts w:ascii="Bookman Old Style" w:hAnsi="Bookman Old Style" w:cs="Arial"/>
          <w:i w:val="0"/>
          <w:spacing w:val="-1"/>
        </w:rPr>
        <w:t>c</w:t>
      </w:r>
      <w:r w:rsidRPr="00395DBC">
        <w:rPr>
          <w:rFonts w:ascii="Bookman Old Style" w:hAnsi="Bookman Old Style" w:cs="Arial"/>
          <w:i w:val="0"/>
        </w:rPr>
        <w:t>o</w:t>
      </w:r>
      <w:r w:rsidRPr="00395DBC">
        <w:rPr>
          <w:rFonts w:ascii="Bookman Old Style" w:hAnsi="Bookman Old Style" w:cs="Arial"/>
          <w:i w:val="0"/>
          <w:spacing w:val="2"/>
        </w:rPr>
        <w:t>rr</w:t>
      </w:r>
      <w:r w:rsidRPr="00395DBC">
        <w:rPr>
          <w:rFonts w:ascii="Bookman Old Style" w:hAnsi="Bookman Old Style" w:cs="Arial"/>
          <w:i w:val="0"/>
          <w:spacing w:val="-1"/>
        </w:rPr>
        <w:t>e</w:t>
      </w:r>
      <w:r w:rsidRPr="00395DBC">
        <w:rPr>
          <w:rFonts w:ascii="Bookman Old Style" w:hAnsi="Bookman Old Style" w:cs="Arial"/>
          <w:i w:val="0"/>
          <w:spacing w:val="-2"/>
        </w:rPr>
        <w:t>s</w:t>
      </w:r>
      <w:r w:rsidRPr="00395DBC">
        <w:rPr>
          <w:rFonts w:ascii="Bookman Old Style" w:hAnsi="Bookman Old Style" w:cs="Arial"/>
          <w:i w:val="0"/>
        </w:rPr>
        <w:t>pond</w:t>
      </w:r>
      <w:r w:rsidRPr="00395DBC">
        <w:rPr>
          <w:rFonts w:ascii="Bookman Old Style" w:hAnsi="Bookman Old Style" w:cs="Arial"/>
          <w:i w:val="0"/>
          <w:spacing w:val="2"/>
        </w:rPr>
        <w:t xml:space="preserve"> </w:t>
      </w:r>
      <w:r w:rsidRPr="00395DBC">
        <w:rPr>
          <w:rFonts w:ascii="Bookman Old Style" w:hAnsi="Bookman Old Style" w:cs="Arial"/>
          <w:i w:val="0"/>
        </w:rPr>
        <w:t>à</w:t>
      </w:r>
      <w:r w:rsidRPr="00395DBC">
        <w:rPr>
          <w:rFonts w:ascii="Bookman Old Style" w:hAnsi="Bookman Old Style" w:cs="Arial"/>
          <w:i w:val="0"/>
          <w:spacing w:val="-3"/>
        </w:rPr>
        <w:t xml:space="preserve"> </w:t>
      </w:r>
      <w:r w:rsidRPr="00395DBC">
        <w:rPr>
          <w:rFonts w:ascii="Bookman Old Style" w:hAnsi="Bookman Old Style" w:cs="Arial"/>
          <w:i w:val="0"/>
        </w:rPr>
        <w:t>l'</w:t>
      </w:r>
      <w:r w:rsidRPr="00395DBC">
        <w:rPr>
          <w:rFonts w:ascii="Bookman Old Style" w:hAnsi="Bookman Old Style" w:cs="Arial"/>
          <w:i w:val="0"/>
          <w:spacing w:val="-1"/>
        </w:rPr>
        <w:t>ac</w:t>
      </w:r>
      <w:r w:rsidRPr="00395DBC">
        <w:rPr>
          <w:rFonts w:ascii="Bookman Old Style" w:hAnsi="Bookman Old Style" w:cs="Arial"/>
          <w:i w:val="0"/>
        </w:rPr>
        <w:t>qui</w:t>
      </w:r>
      <w:r w:rsidRPr="00395DBC">
        <w:rPr>
          <w:rFonts w:ascii="Bookman Old Style" w:hAnsi="Bookman Old Style" w:cs="Arial"/>
          <w:i w:val="0"/>
          <w:spacing w:val="-2"/>
        </w:rPr>
        <w:t>s</w:t>
      </w:r>
      <w:r w:rsidRPr="00395DBC">
        <w:rPr>
          <w:rFonts w:ascii="Bookman Old Style" w:hAnsi="Bookman Old Style" w:cs="Arial"/>
          <w:i w:val="0"/>
        </w:rPr>
        <w:t>ition</w:t>
      </w:r>
      <w:r w:rsidRPr="00395DBC">
        <w:rPr>
          <w:rFonts w:ascii="Bookman Old Style" w:hAnsi="Bookman Old Style" w:cs="Arial"/>
          <w:i w:val="0"/>
          <w:spacing w:val="2"/>
        </w:rPr>
        <w:t xml:space="preserve"> </w:t>
      </w:r>
      <w:r w:rsidRPr="00395DBC">
        <w:rPr>
          <w:rFonts w:ascii="Bookman Old Style" w:hAnsi="Bookman Old Style" w:cs="Arial"/>
          <w:i w:val="0"/>
        </w:rPr>
        <w:t>de</w:t>
      </w:r>
      <w:r w:rsidRPr="00395DBC">
        <w:rPr>
          <w:rFonts w:ascii="Bookman Old Style" w:hAnsi="Bookman Old Style" w:cs="Arial"/>
          <w:i w:val="0"/>
          <w:spacing w:val="1"/>
        </w:rPr>
        <w:t xml:space="preserve"> </w:t>
      </w:r>
      <w:r w:rsidRPr="00395DBC">
        <w:rPr>
          <w:rFonts w:ascii="Bookman Old Style" w:hAnsi="Bookman Old Style" w:cs="Arial"/>
          <w:i w:val="0"/>
        </w:rPr>
        <w:t>30</w:t>
      </w:r>
      <w:r w:rsidRPr="00395DBC">
        <w:rPr>
          <w:rFonts w:ascii="Bookman Old Style" w:hAnsi="Bookman Old Style" w:cs="Arial"/>
          <w:i w:val="0"/>
          <w:spacing w:val="-2"/>
        </w:rPr>
        <w:t xml:space="preserve"> </w:t>
      </w:r>
      <w:r w:rsidRPr="00395DBC">
        <w:rPr>
          <w:rFonts w:ascii="Bookman Old Style" w:hAnsi="Bookman Old Style" w:cs="Arial"/>
          <w:i w:val="0"/>
          <w:spacing w:val="-1"/>
        </w:rPr>
        <w:t>c</w:t>
      </w:r>
      <w:r w:rsidRPr="00395DBC">
        <w:rPr>
          <w:rFonts w:ascii="Bookman Old Style" w:hAnsi="Bookman Old Style" w:cs="Arial"/>
          <w:i w:val="0"/>
          <w:spacing w:val="2"/>
        </w:rPr>
        <w:t>r</w:t>
      </w:r>
      <w:r w:rsidRPr="00395DBC">
        <w:rPr>
          <w:rFonts w:ascii="Bookman Old Style" w:hAnsi="Bookman Old Style" w:cs="Arial"/>
          <w:i w:val="0"/>
          <w:spacing w:val="-1"/>
        </w:rPr>
        <w:t>é</w:t>
      </w:r>
      <w:r w:rsidRPr="00395DBC">
        <w:rPr>
          <w:rFonts w:ascii="Bookman Old Style" w:hAnsi="Bookman Old Style" w:cs="Arial"/>
          <w:i w:val="0"/>
        </w:rPr>
        <w:t>dit</w:t>
      </w:r>
      <w:r w:rsidRPr="00395DBC">
        <w:rPr>
          <w:rFonts w:ascii="Bookman Old Style" w:hAnsi="Bookman Old Style" w:cs="Arial"/>
          <w:i w:val="0"/>
          <w:spacing w:val="-2"/>
        </w:rPr>
        <w:t>s.</w:t>
      </w:r>
    </w:p>
    <w:p w:rsidR="00070E5D" w:rsidRPr="00395DBC" w:rsidRDefault="00070E5D" w:rsidP="00070E5D">
      <w:pPr>
        <w:pStyle w:val="Blocdecitation"/>
        <w:spacing w:before="120"/>
        <w:ind w:right="0"/>
        <w:jc w:val="both"/>
        <w:rPr>
          <w:rFonts w:ascii="Bookman Old Style" w:hAnsi="Bookman Old Style" w:cs="Arial"/>
          <w:i w:val="0"/>
        </w:rPr>
      </w:pPr>
      <w:r w:rsidRPr="00395DBC">
        <w:rPr>
          <w:rFonts w:ascii="Bookman Old Style" w:hAnsi="Bookman Old Style" w:cs="Arial"/>
          <w:i w:val="0"/>
          <w:spacing w:val="-2"/>
        </w:rPr>
        <w:t>C</w:t>
      </w:r>
      <w:r w:rsidRPr="00395DBC">
        <w:rPr>
          <w:rFonts w:ascii="Bookman Old Style" w:hAnsi="Bookman Old Style" w:cs="Arial"/>
          <w:i w:val="0"/>
          <w:spacing w:val="-1"/>
        </w:rPr>
        <w:t>e</w:t>
      </w:r>
      <w:r w:rsidRPr="00395DBC">
        <w:rPr>
          <w:rFonts w:ascii="Bookman Old Style" w:hAnsi="Bookman Old Style" w:cs="Arial"/>
          <w:i w:val="0"/>
        </w:rPr>
        <w:t xml:space="preserve">s 120 </w:t>
      </w:r>
      <w:r w:rsidRPr="00395DBC">
        <w:rPr>
          <w:rFonts w:ascii="Bookman Old Style" w:hAnsi="Bookman Old Style" w:cs="Arial"/>
          <w:i w:val="0"/>
          <w:spacing w:val="-1"/>
        </w:rPr>
        <w:t>c</w:t>
      </w:r>
      <w:r w:rsidRPr="00395DBC">
        <w:rPr>
          <w:rFonts w:ascii="Bookman Old Style" w:hAnsi="Bookman Old Style" w:cs="Arial"/>
          <w:i w:val="0"/>
          <w:spacing w:val="2"/>
        </w:rPr>
        <w:t>r</w:t>
      </w:r>
      <w:r w:rsidRPr="00395DBC">
        <w:rPr>
          <w:rFonts w:ascii="Bookman Old Style" w:hAnsi="Bookman Old Style" w:cs="Arial"/>
          <w:i w:val="0"/>
          <w:spacing w:val="-1"/>
        </w:rPr>
        <w:t>é</w:t>
      </w:r>
      <w:r w:rsidRPr="00395DBC">
        <w:rPr>
          <w:rFonts w:ascii="Bookman Old Style" w:hAnsi="Bookman Old Style" w:cs="Arial"/>
          <w:i w:val="0"/>
        </w:rPr>
        <w:t xml:space="preserve">dits </w:t>
      </w:r>
      <w:r w:rsidRPr="00395DBC">
        <w:rPr>
          <w:rFonts w:ascii="Bookman Old Style" w:hAnsi="Bookman Old Style" w:cs="Arial"/>
          <w:i w:val="0"/>
          <w:spacing w:val="-1"/>
        </w:rPr>
        <w:t>e</w:t>
      </w:r>
      <w:r w:rsidRPr="00395DBC">
        <w:rPr>
          <w:rFonts w:ascii="Bookman Old Style" w:hAnsi="Bookman Old Style" w:cs="Arial"/>
          <w:i w:val="0"/>
        </w:rPr>
        <w:t>u</w:t>
      </w:r>
      <w:r w:rsidRPr="00395DBC">
        <w:rPr>
          <w:rFonts w:ascii="Bookman Old Style" w:hAnsi="Bookman Old Style" w:cs="Arial"/>
          <w:i w:val="0"/>
          <w:spacing w:val="2"/>
        </w:rPr>
        <w:t>r</w:t>
      </w:r>
      <w:r w:rsidRPr="00395DBC">
        <w:rPr>
          <w:rFonts w:ascii="Bookman Old Style" w:hAnsi="Bookman Old Style" w:cs="Arial"/>
          <w:i w:val="0"/>
        </w:rPr>
        <w:t>op</w:t>
      </w:r>
      <w:r w:rsidRPr="00395DBC">
        <w:rPr>
          <w:rFonts w:ascii="Bookman Old Style" w:hAnsi="Bookman Old Style" w:cs="Arial"/>
          <w:i w:val="0"/>
          <w:spacing w:val="-1"/>
        </w:rPr>
        <w:t>ée</w:t>
      </w:r>
      <w:r w:rsidRPr="00395DBC">
        <w:rPr>
          <w:rFonts w:ascii="Bookman Old Style" w:hAnsi="Bookman Old Style" w:cs="Arial"/>
          <w:i w:val="0"/>
          <w:spacing w:val="5"/>
        </w:rPr>
        <w:t>n</w:t>
      </w:r>
      <w:r w:rsidRPr="00395DBC">
        <w:rPr>
          <w:rFonts w:ascii="Bookman Old Style" w:hAnsi="Bookman Old Style" w:cs="Arial"/>
          <w:i w:val="0"/>
        </w:rPr>
        <w:t xml:space="preserve">s </w:t>
      </w:r>
      <w:r w:rsidRPr="00395DBC">
        <w:rPr>
          <w:rFonts w:ascii="Bookman Old Style" w:hAnsi="Bookman Old Style" w:cs="Arial"/>
          <w:i w:val="0"/>
          <w:spacing w:val="-2"/>
        </w:rPr>
        <w:t>s</w:t>
      </w:r>
      <w:r w:rsidRPr="00395DBC">
        <w:rPr>
          <w:rFonts w:ascii="Bookman Old Style" w:hAnsi="Bookman Old Style" w:cs="Arial"/>
          <w:i w:val="0"/>
        </w:rPr>
        <w:t>ont</w:t>
      </w:r>
      <w:r w:rsidRPr="00395DBC">
        <w:rPr>
          <w:rFonts w:ascii="Bookman Old Style" w:hAnsi="Bookman Old Style" w:cs="Arial"/>
          <w:i w:val="0"/>
          <w:spacing w:val="-21"/>
        </w:rPr>
        <w:t xml:space="preserve"> </w:t>
      </w:r>
      <w:r w:rsidRPr="00395DBC">
        <w:rPr>
          <w:rFonts w:ascii="Bookman Old Style" w:hAnsi="Bookman Old Style" w:cs="Arial"/>
          <w:i w:val="0"/>
        </w:rPr>
        <w:t>ob</w:t>
      </w:r>
      <w:r w:rsidRPr="00395DBC">
        <w:rPr>
          <w:rFonts w:ascii="Bookman Old Style" w:hAnsi="Bookman Old Style" w:cs="Arial"/>
          <w:i w:val="0"/>
          <w:spacing w:val="5"/>
        </w:rPr>
        <w:t>t</w:t>
      </w:r>
      <w:r w:rsidRPr="00395DBC">
        <w:rPr>
          <w:rFonts w:ascii="Bookman Old Style" w:hAnsi="Bookman Old Style" w:cs="Arial"/>
          <w:i w:val="0"/>
          <w:spacing w:val="-1"/>
        </w:rPr>
        <w:t>e</w:t>
      </w:r>
      <w:r w:rsidRPr="00395DBC">
        <w:rPr>
          <w:rFonts w:ascii="Bookman Old Style" w:hAnsi="Bookman Old Style" w:cs="Arial"/>
          <w:i w:val="0"/>
        </w:rPr>
        <w:t>nus p</w:t>
      </w:r>
      <w:r w:rsidRPr="00395DBC">
        <w:rPr>
          <w:rFonts w:ascii="Bookman Old Style" w:hAnsi="Bookman Old Style" w:cs="Arial"/>
          <w:i w:val="0"/>
          <w:spacing w:val="-1"/>
        </w:rPr>
        <w:t>a</w:t>
      </w:r>
      <w:r w:rsidRPr="00395DBC">
        <w:rPr>
          <w:rFonts w:ascii="Bookman Old Style" w:hAnsi="Bookman Old Style" w:cs="Arial"/>
          <w:i w:val="0"/>
        </w:rPr>
        <w:t>r la</w:t>
      </w:r>
      <w:r w:rsidRPr="00395DBC">
        <w:rPr>
          <w:rFonts w:ascii="Bookman Old Style" w:hAnsi="Bookman Old Style" w:cs="Arial"/>
          <w:i w:val="0"/>
          <w:spacing w:val="-23"/>
        </w:rPr>
        <w:t xml:space="preserve"> </w:t>
      </w:r>
      <w:r w:rsidRPr="00395DBC">
        <w:rPr>
          <w:rFonts w:ascii="Bookman Old Style" w:hAnsi="Bookman Old Style" w:cs="Arial"/>
          <w:i w:val="0"/>
        </w:rPr>
        <w:t>v</w:t>
      </w:r>
      <w:r w:rsidRPr="00395DBC">
        <w:rPr>
          <w:rFonts w:ascii="Bookman Old Style" w:hAnsi="Bookman Old Style" w:cs="Arial"/>
          <w:i w:val="0"/>
          <w:spacing w:val="-1"/>
        </w:rPr>
        <w:t>a</w:t>
      </w:r>
      <w:r w:rsidRPr="00395DBC">
        <w:rPr>
          <w:rFonts w:ascii="Bookman Old Style" w:hAnsi="Bookman Old Style" w:cs="Arial"/>
          <w:i w:val="0"/>
        </w:rPr>
        <w:t>lid</w:t>
      </w:r>
      <w:r w:rsidRPr="00395DBC">
        <w:rPr>
          <w:rFonts w:ascii="Bookman Old Style" w:hAnsi="Bookman Old Style" w:cs="Arial"/>
          <w:i w:val="0"/>
          <w:spacing w:val="-1"/>
        </w:rPr>
        <w:t>a</w:t>
      </w:r>
      <w:r w:rsidRPr="00395DBC">
        <w:rPr>
          <w:rFonts w:ascii="Bookman Old Style" w:hAnsi="Bookman Old Style" w:cs="Arial"/>
          <w:i w:val="0"/>
        </w:rPr>
        <w:t>tion d</w:t>
      </w:r>
      <w:r w:rsidRPr="00395DBC">
        <w:rPr>
          <w:rFonts w:ascii="Bookman Old Style" w:hAnsi="Bookman Old Style" w:cs="Arial"/>
          <w:i w:val="0"/>
          <w:spacing w:val="2"/>
        </w:rPr>
        <w:t>’</w:t>
      </w:r>
      <w:r w:rsidRPr="00395DBC">
        <w:rPr>
          <w:rFonts w:ascii="Bookman Old Style" w:hAnsi="Bookman Old Style" w:cs="Arial"/>
          <w:i w:val="0"/>
        </w:rPr>
        <w:t>Unit</w:t>
      </w:r>
      <w:r w:rsidRPr="00395DBC">
        <w:rPr>
          <w:rFonts w:ascii="Bookman Old Style" w:hAnsi="Bookman Old Style" w:cs="Arial"/>
          <w:i w:val="0"/>
          <w:spacing w:val="-1"/>
        </w:rPr>
        <w:t>é</w:t>
      </w:r>
      <w:r w:rsidRPr="00395DBC">
        <w:rPr>
          <w:rFonts w:ascii="Bookman Old Style" w:hAnsi="Bookman Old Style" w:cs="Arial"/>
          <w:i w:val="0"/>
        </w:rPr>
        <w:t>s</w:t>
      </w:r>
      <w:r w:rsidRPr="00395DBC">
        <w:rPr>
          <w:rFonts w:ascii="Bookman Old Style" w:hAnsi="Bookman Old Style" w:cs="Arial"/>
          <w:i w:val="0"/>
          <w:spacing w:val="-24"/>
        </w:rPr>
        <w:t xml:space="preserve"> </w:t>
      </w:r>
      <w:r w:rsidRPr="00395DBC">
        <w:rPr>
          <w:rFonts w:ascii="Bookman Old Style" w:hAnsi="Bookman Old Style" w:cs="Arial"/>
          <w:i w:val="0"/>
        </w:rPr>
        <w:t>d</w:t>
      </w:r>
      <w:r w:rsidRPr="00395DBC">
        <w:rPr>
          <w:rFonts w:ascii="Bookman Old Style" w:hAnsi="Bookman Old Style" w:cs="Arial"/>
          <w:i w:val="0"/>
          <w:spacing w:val="2"/>
        </w:rPr>
        <w:t>’E</w:t>
      </w:r>
      <w:r w:rsidRPr="00395DBC">
        <w:rPr>
          <w:rFonts w:ascii="Bookman Old Style" w:hAnsi="Bookman Old Style" w:cs="Arial"/>
          <w:i w:val="0"/>
        </w:rPr>
        <w:t>n</w:t>
      </w:r>
      <w:r w:rsidRPr="00395DBC">
        <w:rPr>
          <w:rFonts w:ascii="Bookman Old Style" w:hAnsi="Bookman Old Style" w:cs="Arial"/>
          <w:i w:val="0"/>
          <w:spacing w:val="-2"/>
        </w:rPr>
        <w:t>s</w:t>
      </w:r>
      <w:r w:rsidRPr="00395DBC">
        <w:rPr>
          <w:rFonts w:ascii="Bookman Old Style" w:hAnsi="Bookman Old Style" w:cs="Arial"/>
          <w:i w:val="0"/>
          <w:spacing w:val="-1"/>
        </w:rPr>
        <w:t>e</w:t>
      </w:r>
      <w:r w:rsidRPr="00395DBC">
        <w:rPr>
          <w:rFonts w:ascii="Bookman Old Style" w:hAnsi="Bookman Old Style" w:cs="Arial"/>
          <w:i w:val="0"/>
        </w:rPr>
        <w:t>ign</w:t>
      </w:r>
      <w:r w:rsidRPr="00395DBC">
        <w:rPr>
          <w:rFonts w:ascii="Bookman Old Style" w:hAnsi="Bookman Old Style" w:cs="Arial"/>
          <w:i w:val="0"/>
          <w:spacing w:val="-1"/>
        </w:rPr>
        <w:t>e</w:t>
      </w:r>
      <w:r w:rsidRPr="00395DBC">
        <w:rPr>
          <w:rFonts w:ascii="Bookman Old Style" w:hAnsi="Bookman Old Style" w:cs="Arial"/>
          <w:i w:val="0"/>
        </w:rPr>
        <w:t>m</w:t>
      </w:r>
      <w:r w:rsidRPr="00395DBC">
        <w:rPr>
          <w:rFonts w:ascii="Bookman Old Style" w:hAnsi="Bookman Old Style" w:cs="Arial"/>
          <w:i w:val="0"/>
          <w:spacing w:val="-1"/>
        </w:rPr>
        <w:t>e</w:t>
      </w:r>
      <w:r w:rsidRPr="00395DBC">
        <w:rPr>
          <w:rFonts w:ascii="Bookman Old Style" w:hAnsi="Bookman Old Style" w:cs="Arial"/>
          <w:i w:val="0"/>
        </w:rPr>
        <w:t xml:space="preserve">nt </w:t>
      </w:r>
      <w:r w:rsidRPr="00395DBC">
        <w:rPr>
          <w:rFonts w:ascii="Bookman Old Style" w:hAnsi="Bookman Old Style" w:cs="Arial"/>
          <w:i w:val="0"/>
          <w:spacing w:val="2"/>
        </w:rPr>
        <w:t>(</w:t>
      </w:r>
      <w:r w:rsidRPr="00395DBC">
        <w:rPr>
          <w:rFonts w:ascii="Bookman Old Style" w:hAnsi="Bookman Old Style" w:cs="Arial"/>
          <w:i w:val="0"/>
        </w:rPr>
        <w:t>U</w:t>
      </w:r>
      <w:r w:rsidRPr="00395DBC">
        <w:rPr>
          <w:rFonts w:ascii="Bookman Old Style" w:hAnsi="Bookman Old Style" w:cs="Arial"/>
          <w:i w:val="0"/>
          <w:spacing w:val="2"/>
        </w:rPr>
        <w:t>E</w:t>
      </w:r>
      <w:r w:rsidRPr="00395DBC">
        <w:rPr>
          <w:rFonts w:ascii="Bookman Old Style" w:hAnsi="Bookman Old Style" w:cs="Arial"/>
          <w:i w:val="0"/>
        </w:rPr>
        <w:t xml:space="preserve">) </w:t>
      </w:r>
      <w:r w:rsidRPr="00395DBC">
        <w:rPr>
          <w:rFonts w:ascii="Bookman Old Style" w:hAnsi="Bookman Old Style" w:cs="Arial"/>
          <w:i w:val="0"/>
          <w:spacing w:val="-2"/>
        </w:rPr>
        <w:t>s</w:t>
      </w:r>
      <w:r w:rsidRPr="00395DBC">
        <w:rPr>
          <w:rFonts w:ascii="Bookman Old Style" w:hAnsi="Bookman Old Style" w:cs="Arial"/>
          <w:i w:val="0"/>
          <w:spacing w:val="-1"/>
        </w:rPr>
        <w:t>e</w:t>
      </w:r>
      <w:r w:rsidRPr="00395DBC">
        <w:rPr>
          <w:rFonts w:ascii="Bookman Old Style" w:hAnsi="Bookman Old Style" w:cs="Arial"/>
          <w:i w:val="0"/>
        </w:rPr>
        <w:t>m</w:t>
      </w:r>
      <w:r w:rsidRPr="00395DBC">
        <w:rPr>
          <w:rFonts w:ascii="Bookman Old Style" w:hAnsi="Bookman Old Style" w:cs="Arial"/>
          <w:i w:val="0"/>
          <w:spacing w:val="-1"/>
        </w:rPr>
        <w:t>e</w:t>
      </w:r>
      <w:r w:rsidRPr="00395DBC">
        <w:rPr>
          <w:rFonts w:ascii="Bookman Old Style" w:hAnsi="Bookman Old Style" w:cs="Arial"/>
          <w:i w:val="0"/>
          <w:spacing w:val="-2"/>
        </w:rPr>
        <w:t>s</w:t>
      </w:r>
      <w:r w:rsidRPr="00395DBC">
        <w:rPr>
          <w:rFonts w:ascii="Bookman Old Style" w:hAnsi="Bookman Old Style" w:cs="Arial"/>
          <w:i w:val="0"/>
        </w:rPr>
        <w:t>t</w:t>
      </w:r>
      <w:r w:rsidRPr="00395DBC">
        <w:rPr>
          <w:rFonts w:ascii="Bookman Old Style" w:hAnsi="Bookman Old Style" w:cs="Arial"/>
          <w:i w:val="0"/>
          <w:spacing w:val="2"/>
        </w:rPr>
        <w:t>r</w:t>
      </w:r>
      <w:r w:rsidRPr="00395DBC">
        <w:rPr>
          <w:rFonts w:ascii="Bookman Old Style" w:hAnsi="Bookman Old Style" w:cs="Arial"/>
          <w:i w:val="0"/>
        </w:rPr>
        <w:t>i</w:t>
      </w:r>
      <w:r w:rsidRPr="00395DBC">
        <w:rPr>
          <w:rFonts w:ascii="Bookman Old Style" w:hAnsi="Bookman Old Style" w:cs="Arial"/>
          <w:i w:val="0"/>
          <w:spacing w:val="-1"/>
        </w:rPr>
        <w:t>e</w:t>
      </w:r>
      <w:r w:rsidRPr="00395DBC">
        <w:rPr>
          <w:rFonts w:ascii="Bookman Old Style" w:hAnsi="Bookman Old Style" w:cs="Arial"/>
          <w:i w:val="0"/>
        </w:rPr>
        <w:t>ll</w:t>
      </w:r>
      <w:r w:rsidRPr="00395DBC">
        <w:rPr>
          <w:rFonts w:ascii="Bookman Old Style" w:hAnsi="Bookman Old Style" w:cs="Arial"/>
          <w:i w:val="0"/>
          <w:spacing w:val="-1"/>
        </w:rPr>
        <w:t>e</w:t>
      </w:r>
      <w:r w:rsidRPr="00395DBC">
        <w:rPr>
          <w:rFonts w:ascii="Bookman Old Style" w:hAnsi="Bookman Old Style" w:cs="Arial"/>
          <w:i w:val="0"/>
          <w:spacing w:val="-2"/>
        </w:rPr>
        <w:t>s</w:t>
      </w:r>
      <w:r w:rsidRPr="00395DBC">
        <w:rPr>
          <w:rFonts w:ascii="Bookman Old Style" w:hAnsi="Bookman Old Style" w:cs="Arial"/>
          <w:i w:val="0"/>
        </w:rPr>
        <w:t>, pouvant</w:t>
      </w:r>
      <w:r w:rsidRPr="00395DBC">
        <w:rPr>
          <w:rFonts w:ascii="Bookman Old Style" w:hAnsi="Bookman Old Style" w:cs="Arial"/>
          <w:i w:val="0"/>
          <w:spacing w:val="2"/>
        </w:rPr>
        <w:t xml:space="preserve"> r</w:t>
      </w:r>
      <w:r w:rsidRPr="00395DBC">
        <w:rPr>
          <w:rFonts w:ascii="Bookman Old Style" w:hAnsi="Bookman Old Style" w:cs="Arial"/>
          <w:i w:val="0"/>
          <w:spacing w:val="-1"/>
        </w:rPr>
        <w:t>a</w:t>
      </w:r>
      <w:r w:rsidRPr="00395DBC">
        <w:rPr>
          <w:rFonts w:ascii="Bookman Old Style" w:hAnsi="Bookman Old Style" w:cs="Arial"/>
          <w:i w:val="0"/>
          <w:spacing w:val="-2"/>
        </w:rPr>
        <w:t>ss</w:t>
      </w:r>
      <w:r w:rsidRPr="00395DBC">
        <w:rPr>
          <w:rFonts w:ascii="Bookman Old Style" w:hAnsi="Bookman Old Style" w:cs="Arial"/>
          <w:i w:val="0"/>
          <w:spacing w:val="-1"/>
        </w:rPr>
        <w:t>e</w:t>
      </w:r>
      <w:r w:rsidRPr="00395DBC">
        <w:rPr>
          <w:rFonts w:ascii="Bookman Old Style" w:hAnsi="Bookman Old Style" w:cs="Arial"/>
          <w:i w:val="0"/>
        </w:rPr>
        <w:t>mbl</w:t>
      </w:r>
      <w:r w:rsidRPr="00395DBC">
        <w:rPr>
          <w:rFonts w:ascii="Bookman Old Style" w:hAnsi="Bookman Old Style" w:cs="Arial"/>
          <w:i w:val="0"/>
          <w:spacing w:val="-1"/>
        </w:rPr>
        <w:t>er</w:t>
      </w:r>
      <w:r w:rsidRPr="00395DBC">
        <w:rPr>
          <w:rFonts w:ascii="Bookman Old Style" w:hAnsi="Bookman Old Style" w:cs="Arial"/>
          <w:i w:val="0"/>
        </w:rPr>
        <w:t xml:space="preserve"> </w:t>
      </w:r>
      <w:r w:rsidRPr="00395DBC">
        <w:rPr>
          <w:rFonts w:ascii="Bookman Old Style" w:hAnsi="Bookman Old Style" w:cs="Arial"/>
          <w:i w:val="0"/>
          <w:spacing w:val="-19"/>
        </w:rPr>
        <w:t xml:space="preserve"> </w:t>
      </w:r>
      <w:r w:rsidRPr="00395DBC">
        <w:rPr>
          <w:rFonts w:ascii="Bookman Old Style" w:hAnsi="Bookman Old Style" w:cs="Arial"/>
          <w:i w:val="0"/>
        </w:rPr>
        <w:t>di</w:t>
      </w:r>
      <w:r w:rsidRPr="00395DBC">
        <w:rPr>
          <w:rFonts w:ascii="Bookman Old Style" w:hAnsi="Bookman Old Style" w:cs="Arial"/>
          <w:i w:val="0"/>
          <w:spacing w:val="2"/>
        </w:rPr>
        <w:t>ff</w:t>
      </w:r>
      <w:r w:rsidRPr="00395DBC">
        <w:rPr>
          <w:rFonts w:ascii="Bookman Old Style" w:hAnsi="Bookman Old Style" w:cs="Arial"/>
          <w:i w:val="0"/>
          <w:spacing w:val="-1"/>
        </w:rPr>
        <w:t>é</w:t>
      </w:r>
      <w:r w:rsidRPr="00395DBC">
        <w:rPr>
          <w:rFonts w:ascii="Bookman Old Style" w:hAnsi="Bookman Old Style" w:cs="Arial"/>
          <w:i w:val="0"/>
          <w:spacing w:val="2"/>
        </w:rPr>
        <w:t>r</w:t>
      </w:r>
      <w:r w:rsidRPr="00395DBC">
        <w:rPr>
          <w:rFonts w:ascii="Bookman Old Style" w:hAnsi="Bookman Old Style" w:cs="Arial"/>
          <w:i w:val="0"/>
          <w:spacing w:val="-1"/>
        </w:rPr>
        <w:t>e</w:t>
      </w:r>
      <w:r w:rsidRPr="00395DBC">
        <w:rPr>
          <w:rFonts w:ascii="Bookman Old Style" w:hAnsi="Bookman Old Style" w:cs="Arial"/>
          <w:i w:val="0"/>
        </w:rPr>
        <w:t xml:space="preserve">nts </w:t>
      </w:r>
      <w:r w:rsidRPr="00395DBC">
        <w:rPr>
          <w:rFonts w:ascii="Bookman Old Style" w:hAnsi="Bookman Old Style" w:cs="Arial"/>
          <w:i w:val="0"/>
          <w:spacing w:val="-1"/>
        </w:rPr>
        <w:t>é</w:t>
      </w:r>
      <w:r w:rsidRPr="00395DBC">
        <w:rPr>
          <w:rFonts w:ascii="Bookman Old Style" w:hAnsi="Bookman Old Style" w:cs="Arial"/>
          <w:i w:val="0"/>
        </w:rPr>
        <w:t>l</w:t>
      </w:r>
      <w:r w:rsidRPr="00395DBC">
        <w:rPr>
          <w:rFonts w:ascii="Bookman Old Style" w:hAnsi="Bookman Old Style" w:cs="Arial"/>
          <w:i w:val="0"/>
          <w:spacing w:val="-1"/>
        </w:rPr>
        <w:t>é</w:t>
      </w:r>
      <w:r w:rsidRPr="00395DBC">
        <w:rPr>
          <w:rFonts w:ascii="Bookman Old Style" w:hAnsi="Bookman Old Style" w:cs="Arial"/>
          <w:i w:val="0"/>
        </w:rPr>
        <w:t>m</w:t>
      </w:r>
      <w:r w:rsidRPr="00395DBC">
        <w:rPr>
          <w:rFonts w:ascii="Bookman Old Style" w:hAnsi="Bookman Old Style" w:cs="Arial"/>
          <w:i w:val="0"/>
          <w:spacing w:val="-1"/>
        </w:rPr>
        <w:t>e</w:t>
      </w:r>
      <w:r w:rsidRPr="00395DBC">
        <w:rPr>
          <w:rFonts w:ascii="Bookman Old Style" w:hAnsi="Bookman Old Style" w:cs="Arial"/>
          <w:i w:val="0"/>
        </w:rPr>
        <w:t xml:space="preserve">nts </w:t>
      </w:r>
      <w:r w:rsidRPr="00395DBC">
        <w:rPr>
          <w:rFonts w:ascii="Bookman Old Style" w:hAnsi="Bookman Old Style" w:cs="Arial"/>
          <w:i w:val="0"/>
          <w:spacing w:val="-1"/>
        </w:rPr>
        <w:t>c</w:t>
      </w:r>
      <w:r w:rsidRPr="00395DBC">
        <w:rPr>
          <w:rFonts w:ascii="Bookman Old Style" w:hAnsi="Bookman Old Style" w:cs="Arial"/>
          <w:i w:val="0"/>
          <w:spacing w:val="5"/>
        </w:rPr>
        <w:t>o</w:t>
      </w:r>
      <w:r w:rsidRPr="00395DBC">
        <w:rPr>
          <w:rFonts w:ascii="Bookman Old Style" w:hAnsi="Bookman Old Style" w:cs="Arial"/>
          <w:i w:val="0"/>
        </w:rPr>
        <w:t>n</w:t>
      </w:r>
      <w:r w:rsidRPr="00395DBC">
        <w:rPr>
          <w:rFonts w:ascii="Bookman Old Style" w:hAnsi="Bookman Old Style" w:cs="Arial"/>
          <w:i w:val="0"/>
          <w:spacing w:val="-2"/>
        </w:rPr>
        <w:t>s</w:t>
      </w:r>
      <w:r w:rsidRPr="00395DBC">
        <w:rPr>
          <w:rFonts w:ascii="Bookman Old Style" w:hAnsi="Bookman Old Style" w:cs="Arial"/>
          <w:i w:val="0"/>
        </w:rPr>
        <w:t>tituti</w:t>
      </w:r>
      <w:r w:rsidRPr="00395DBC">
        <w:rPr>
          <w:rFonts w:ascii="Bookman Old Style" w:hAnsi="Bookman Old Style" w:cs="Arial"/>
          <w:i w:val="0"/>
          <w:spacing w:val="2"/>
        </w:rPr>
        <w:t>f</w:t>
      </w:r>
      <w:r w:rsidRPr="00395DBC">
        <w:rPr>
          <w:rFonts w:ascii="Bookman Old Style" w:hAnsi="Bookman Old Style" w:cs="Arial"/>
          <w:i w:val="0"/>
        </w:rPr>
        <w:t xml:space="preserve">s de </w:t>
      </w:r>
      <w:r w:rsidRPr="00395DBC">
        <w:rPr>
          <w:rFonts w:ascii="Bookman Old Style" w:hAnsi="Bookman Old Style" w:cs="Arial"/>
          <w:i w:val="0"/>
          <w:spacing w:val="2"/>
        </w:rPr>
        <w:t>f</w:t>
      </w:r>
      <w:r w:rsidRPr="00395DBC">
        <w:rPr>
          <w:rFonts w:ascii="Bookman Old Style" w:hAnsi="Bookman Old Style" w:cs="Arial"/>
          <w:i w:val="0"/>
        </w:rPr>
        <w:t>o</w:t>
      </w:r>
      <w:r w:rsidRPr="00395DBC">
        <w:rPr>
          <w:rFonts w:ascii="Bookman Old Style" w:hAnsi="Bookman Old Style" w:cs="Arial"/>
          <w:i w:val="0"/>
          <w:spacing w:val="2"/>
        </w:rPr>
        <w:t>r</w:t>
      </w:r>
      <w:r w:rsidRPr="00395DBC">
        <w:rPr>
          <w:rFonts w:ascii="Bookman Old Style" w:hAnsi="Bookman Old Style" w:cs="Arial"/>
          <w:i w:val="0"/>
        </w:rPr>
        <w:t>m</w:t>
      </w:r>
      <w:r w:rsidRPr="00395DBC">
        <w:rPr>
          <w:rFonts w:ascii="Bookman Old Style" w:hAnsi="Bookman Old Style" w:cs="Arial"/>
          <w:i w:val="0"/>
          <w:spacing w:val="-1"/>
        </w:rPr>
        <w:t>a</w:t>
      </w:r>
      <w:r w:rsidRPr="00395DBC">
        <w:rPr>
          <w:rFonts w:ascii="Bookman Old Style" w:hAnsi="Bookman Old Style" w:cs="Arial"/>
          <w:i w:val="0"/>
        </w:rPr>
        <w:t>tio</w:t>
      </w:r>
      <w:r w:rsidRPr="00395DBC">
        <w:rPr>
          <w:rFonts w:ascii="Bookman Old Style" w:hAnsi="Bookman Old Style" w:cs="Arial"/>
          <w:i w:val="0"/>
          <w:spacing w:val="-5"/>
        </w:rPr>
        <w:t>n (EC)</w:t>
      </w:r>
      <w:r w:rsidRPr="00395DBC">
        <w:rPr>
          <w:rFonts w:ascii="Bookman Old Style" w:hAnsi="Bookman Old Style" w:cs="Arial"/>
          <w:i w:val="0"/>
        </w:rPr>
        <w:t>,</w:t>
      </w:r>
      <w:r w:rsidRPr="00395DBC">
        <w:rPr>
          <w:rFonts w:ascii="Bookman Old Style" w:hAnsi="Bookman Old Style" w:cs="Arial"/>
          <w:i w:val="0"/>
          <w:spacing w:val="-17"/>
        </w:rPr>
        <w:t xml:space="preserve"> </w:t>
      </w:r>
      <w:r w:rsidRPr="00395DBC">
        <w:rPr>
          <w:rFonts w:ascii="Bookman Old Style" w:hAnsi="Bookman Old Style" w:cs="Arial"/>
          <w:i w:val="0"/>
        </w:rPr>
        <w:t>p</w:t>
      </w:r>
      <w:r w:rsidRPr="00395DBC">
        <w:rPr>
          <w:rFonts w:ascii="Bookman Old Style" w:hAnsi="Bookman Old Style" w:cs="Arial"/>
          <w:i w:val="0"/>
          <w:spacing w:val="2"/>
        </w:rPr>
        <w:t>r</w:t>
      </w:r>
      <w:r w:rsidRPr="00395DBC">
        <w:rPr>
          <w:rFonts w:ascii="Bookman Old Style" w:hAnsi="Bookman Old Style" w:cs="Arial"/>
          <w:i w:val="0"/>
        </w:rPr>
        <w:t>opo</w:t>
      </w:r>
      <w:r w:rsidRPr="00395DBC">
        <w:rPr>
          <w:rFonts w:ascii="Bookman Old Style" w:hAnsi="Bookman Old Style" w:cs="Arial"/>
          <w:i w:val="0"/>
          <w:spacing w:val="-2"/>
        </w:rPr>
        <w:t>s</w:t>
      </w:r>
      <w:r w:rsidRPr="00395DBC">
        <w:rPr>
          <w:rFonts w:ascii="Bookman Old Style" w:hAnsi="Bookman Old Style" w:cs="Arial"/>
          <w:i w:val="0"/>
          <w:spacing w:val="-1"/>
        </w:rPr>
        <w:t>é</w:t>
      </w:r>
      <w:r w:rsidRPr="00395DBC">
        <w:rPr>
          <w:rFonts w:ascii="Bookman Old Style" w:hAnsi="Bookman Old Style" w:cs="Arial"/>
          <w:i w:val="0"/>
        </w:rPr>
        <w:t xml:space="preserve">s </w:t>
      </w:r>
      <w:r w:rsidRPr="00395DBC">
        <w:rPr>
          <w:rFonts w:ascii="Bookman Old Style" w:hAnsi="Bookman Old Style" w:cs="Arial"/>
          <w:i w:val="0"/>
          <w:spacing w:val="-21"/>
        </w:rPr>
        <w:t xml:space="preserve"> </w:t>
      </w:r>
      <w:r w:rsidRPr="00395DBC">
        <w:rPr>
          <w:rFonts w:ascii="Bookman Old Style" w:hAnsi="Bookman Old Style" w:cs="Arial"/>
          <w:i w:val="0"/>
          <w:spacing w:val="-2"/>
        </w:rPr>
        <w:t>s</w:t>
      </w:r>
      <w:r w:rsidRPr="00395DBC">
        <w:rPr>
          <w:rFonts w:ascii="Bookman Old Style" w:hAnsi="Bookman Old Style" w:cs="Arial"/>
          <w:i w:val="0"/>
        </w:rPr>
        <w:t xml:space="preserve">ous </w:t>
      </w:r>
      <w:r w:rsidRPr="00395DBC">
        <w:rPr>
          <w:rFonts w:ascii="Bookman Old Style" w:hAnsi="Bookman Old Style" w:cs="Arial"/>
          <w:i w:val="0"/>
          <w:spacing w:val="-21"/>
        </w:rPr>
        <w:t xml:space="preserve"> </w:t>
      </w:r>
      <w:r w:rsidRPr="00395DBC">
        <w:rPr>
          <w:rFonts w:ascii="Bookman Old Style" w:hAnsi="Bookman Old Style" w:cs="Arial"/>
          <w:i w:val="0"/>
        </w:rPr>
        <w:t xml:space="preserve">la </w:t>
      </w:r>
      <w:r w:rsidRPr="00395DBC">
        <w:rPr>
          <w:rFonts w:ascii="Bookman Old Style" w:hAnsi="Bookman Old Style" w:cs="Arial"/>
          <w:i w:val="0"/>
          <w:spacing w:val="-20"/>
        </w:rPr>
        <w:t xml:space="preserve"> </w:t>
      </w:r>
      <w:r w:rsidRPr="00395DBC">
        <w:rPr>
          <w:rFonts w:ascii="Bookman Old Style" w:hAnsi="Bookman Old Style" w:cs="Arial"/>
          <w:i w:val="0"/>
          <w:spacing w:val="2"/>
        </w:rPr>
        <w:t>f</w:t>
      </w:r>
      <w:r w:rsidRPr="00395DBC">
        <w:rPr>
          <w:rFonts w:ascii="Bookman Old Style" w:hAnsi="Bookman Old Style" w:cs="Arial"/>
          <w:i w:val="0"/>
        </w:rPr>
        <w:t>o</w:t>
      </w:r>
      <w:r w:rsidRPr="00395DBC">
        <w:rPr>
          <w:rFonts w:ascii="Bookman Old Style" w:hAnsi="Bookman Old Style" w:cs="Arial"/>
          <w:i w:val="0"/>
          <w:spacing w:val="2"/>
        </w:rPr>
        <w:t>r</w:t>
      </w:r>
      <w:r w:rsidRPr="00395DBC">
        <w:rPr>
          <w:rFonts w:ascii="Bookman Old Style" w:hAnsi="Bookman Old Style" w:cs="Arial"/>
          <w:i w:val="0"/>
        </w:rPr>
        <w:t>me po</w:t>
      </w:r>
      <w:r w:rsidRPr="00395DBC">
        <w:rPr>
          <w:rFonts w:ascii="Bookman Old Style" w:hAnsi="Bookman Old Style" w:cs="Arial"/>
          <w:i w:val="0"/>
          <w:spacing w:val="-2"/>
        </w:rPr>
        <w:t>ss</w:t>
      </w:r>
      <w:r w:rsidRPr="00395DBC">
        <w:rPr>
          <w:rFonts w:ascii="Bookman Old Style" w:hAnsi="Bookman Old Style" w:cs="Arial"/>
          <w:i w:val="0"/>
        </w:rPr>
        <w:t>ible</w:t>
      </w:r>
      <w:r w:rsidRPr="00395DBC">
        <w:rPr>
          <w:rFonts w:ascii="Bookman Old Style" w:hAnsi="Bookman Old Style" w:cs="Arial"/>
          <w:i w:val="0"/>
          <w:spacing w:val="1"/>
        </w:rPr>
        <w:t xml:space="preserve"> </w:t>
      </w:r>
      <w:r w:rsidRPr="00395DBC">
        <w:rPr>
          <w:rFonts w:ascii="Bookman Old Style" w:hAnsi="Bookman Old Style" w:cs="Arial"/>
          <w:i w:val="0"/>
        </w:rPr>
        <w:t>de</w:t>
      </w:r>
      <w:r w:rsidRPr="00395DBC">
        <w:rPr>
          <w:rFonts w:ascii="Bookman Old Style" w:hAnsi="Bookman Old Style" w:cs="Arial"/>
          <w:i w:val="0"/>
          <w:spacing w:val="1"/>
        </w:rPr>
        <w:t xml:space="preserve"> </w:t>
      </w:r>
      <w:r w:rsidRPr="00395DBC">
        <w:rPr>
          <w:rFonts w:ascii="Bookman Old Style" w:hAnsi="Bookman Old Style" w:cs="Arial"/>
          <w:i w:val="0"/>
        </w:rPr>
        <w:t>di</w:t>
      </w:r>
      <w:r w:rsidRPr="00395DBC">
        <w:rPr>
          <w:rFonts w:ascii="Bookman Old Style" w:hAnsi="Bookman Old Style" w:cs="Arial"/>
          <w:i w:val="0"/>
          <w:spacing w:val="2"/>
        </w:rPr>
        <w:t>ff</w:t>
      </w:r>
      <w:r w:rsidRPr="00395DBC">
        <w:rPr>
          <w:rFonts w:ascii="Bookman Old Style" w:hAnsi="Bookman Old Style" w:cs="Arial"/>
          <w:i w:val="0"/>
          <w:spacing w:val="-1"/>
        </w:rPr>
        <w:t>é</w:t>
      </w:r>
      <w:r w:rsidRPr="00395DBC">
        <w:rPr>
          <w:rFonts w:ascii="Bookman Old Style" w:hAnsi="Bookman Old Style" w:cs="Arial"/>
          <w:i w:val="0"/>
          <w:spacing w:val="2"/>
        </w:rPr>
        <w:t>r</w:t>
      </w:r>
      <w:r w:rsidRPr="00395DBC">
        <w:rPr>
          <w:rFonts w:ascii="Bookman Old Style" w:hAnsi="Bookman Old Style" w:cs="Arial"/>
          <w:i w:val="0"/>
          <w:spacing w:val="-1"/>
        </w:rPr>
        <w:t>e</w:t>
      </w:r>
      <w:r w:rsidRPr="00395DBC">
        <w:rPr>
          <w:rFonts w:ascii="Bookman Old Style" w:hAnsi="Bookman Old Style" w:cs="Arial"/>
          <w:i w:val="0"/>
        </w:rPr>
        <w:t>nt</w:t>
      </w:r>
      <w:r w:rsidRPr="00395DBC">
        <w:rPr>
          <w:rFonts w:ascii="Bookman Old Style" w:hAnsi="Bookman Old Style" w:cs="Arial"/>
          <w:i w:val="0"/>
          <w:spacing w:val="-1"/>
        </w:rPr>
        <w:t>e</w:t>
      </w:r>
      <w:r w:rsidRPr="00395DBC">
        <w:rPr>
          <w:rFonts w:ascii="Bookman Old Style" w:hAnsi="Bookman Old Style" w:cs="Arial"/>
          <w:i w:val="0"/>
        </w:rPr>
        <w:t xml:space="preserve">s </w:t>
      </w:r>
      <w:r w:rsidRPr="00395DBC">
        <w:rPr>
          <w:rFonts w:ascii="Bookman Old Style" w:hAnsi="Bookman Old Style" w:cs="Arial"/>
          <w:i w:val="0"/>
          <w:spacing w:val="-1"/>
        </w:rPr>
        <w:t>ac</w:t>
      </w:r>
      <w:r w:rsidRPr="00395DBC">
        <w:rPr>
          <w:rFonts w:ascii="Bookman Old Style" w:hAnsi="Bookman Old Style" w:cs="Arial"/>
          <w:i w:val="0"/>
        </w:rPr>
        <w:t>tivit</w:t>
      </w:r>
      <w:r w:rsidRPr="00395DBC">
        <w:rPr>
          <w:rFonts w:ascii="Bookman Old Style" w:hAnsi="Bookman Old Style" w:cs="Arial"/>
          <w:i w:val="0"/>
          <w:spacing w:val="-1"/>
        </w:rPr>
        <w:t>é</w:t>
      </w:r>
      <w:r w:rsidRPr="00395DBC">
        <w:rPr>
          <w:rFonts w:ascii="Bookman Old Style" w:hAnsi="Bookman Old Style" w:cs="Arial"/>
          <w:i w:val="0"/>
        </w:rPr>
        <w:t>s p</w:t>
      </w:r>
      <w:r w:rsidRPr="00395DBC">
        <w:rPr>
          <w:rFonts w:ascii="Bookman Old Style" w:hAnsi="Bookman Old Style" w:cs="Arial"/>
          <w:i w:val="0"/>
          <w:spacing w:val="-1"/>
        </w:rPr>
        <w:t>é</w:t>
      </w:r>
      <w:r w:rsidRPr="00395DBC">
        <w:rPr>
          <w:rFonts w:ascii="Bookman Old Style" w:hAnsi="Bookman Old Style" w:cs="Arial"/>
          <w:i w:val="0"/>
        </w:rPr>
        <w:t>d</w:t>
      </w:r>
      <w:r w:rsidRPr="00395DBC">
        <w:rPr>
          <w:rFonts w:ascii="Bookman Old Style" w:hAnsi="Bookman Old Style" w:cs="Arial"/>
          <w:i w:val="0"/>
          <w:spacing w:val="-1"/>
        </w:rPr>
        <w:t>a</w:t>
      </w:r>
      <w:r w:rsidRPr="00395DBC">
        <w:rPr>
          <w:rFonts w:ascii="Bookman Old Style" w:hAnsi="Bookman Old Style" w:cs="Arial"/>
          <w:i w:val="0"/>
        </w:rPr>
        <w:t>gogiqu</w:t>
      </w:r>
      <w:r w:rsidRPr="00395DBC">
        <w:rPr>
          <w:rFonts w:ascii="Bookman Old Style" w:hAnsi="Bookman Old Style" w:cs="Arial"/>
          <w:i w:val="0"/>
          <w:spacing w:val="-1"/>
        </w:rPr>
        <w:t>e</w:t>
      </w:r>
      <w:r w:rsidRPr="00395DBC">
        <w:rPr>
          <w:rFonts w:ascii="Bookman Old Style" w:hAnsi="Bookman Old Style" w:cs="Arial"/>
          <w:i w:val="0"/>
        </w:rPr>
        <w:t>s pour</w:t>
      </w:r>
      <w:r w:rsidRPr="00395DBC">
        <w:rPr>
          <w:rFonts w:ascii="Bookman Old Style" w:hAnsi="Bookman Old Style" w:cs="Arial"/>
          <w:i w:val="0"/>
          <w:spacing w:val="-1"/>
        </w:rPr>
        <w:t xml:space="preserve"> </w:t>
      </w:r>
      <w:r w:rsidRPr="00395DBC">
        <w:rPr>
          <w:rFonts w:ascii="Bookman Old Style" w:hAnsi="Bookman Old Style" w:cs="Arial"/>
          <w:i w:val="0"/>
        </w:rPr>
        <w:t>un</w:t>
      </w:r>
      <w:r w:rsidRPr="00395DBC">
        <w:rPr>
          <w:rFonts w:ascii="Bookman Old Style" w:hAnsi="Bookman Old Style" w:cs="Arial"/>
          <w:i w:val="0"/>
          <w:spacing w:val="2"/>
        </w:rPr>
        <w:t xml:space="preserve"> </w:t>
      </w:r>
      <w:r w:rsidRPr="00395DBC">
        <w:rPr>
          <w:rFonts w:ascii="Bookman Old Style" w:hAnsi="Bookman Old Style" w:cs="Arial"/>
          <w:i w:val="0"/>
        </w:rPr>
        <w:t>m</w:t>
      </w:r>
      <w:r w:rsidRPr="00395DBC">
        <w:rPr>
          <w:rFonts w:ascii="Bookman Old Style" w:hAnsi="Bookman Old Style" w:cs="Arial"/>
          <w:i w:val="0"/>
          <w:spacing w:val="-1"/>
        </w:rPr>
        <w:t>ê</w:t>
      </w:r>
      <w:r w:rsidRPr="00395DBC">
        <w:rPr>
          <w:rFonts w:ascii="Bookman Old Style" w:hAnsi="Bookman Old Style" w:cs="Arial"/>
          <w:i w:val="0"/>
        </w:rPr>
        <w:t>me</w:t>
      </w:r>
      <w:r w:rsidRPr="00395DBC">
        <w:rPr>
          <w:rFonts w:ascii="Bookman Old Style" w:hAnsi="Bookman Old Style" w:cs="Arial"/>
          <w:i w:val="0"/>
          <w:spacing w:val="1"/>
        </w:rPr>
        <w:t xml:space="preserve"> </w:t>
      </w:r>
      <w:r w:rsidRPr="00395DBC">
        <w:rPr>
          <w:rFonts w:ascii="Bookman Old Style" w:hAnsi="Bookman Old Style" w:cs="Arial"/>
          <w:i w:val="0"/>
          <w:spacing w:val="-1"/>
        </w:rPr>
        <w:t>e</w:t>
      </w:r>
      <w:r w:rsidRPr="00395DBC">
        <w:rPr>
          <w:rFonts w:ascii="Bookman Old Style" w:hAnsi="Bookman Old Style" w:cs="Arial"/>
          <w:i w:val="0"/>
        </w:rPr>
        <w:t>n</w:t>
      </w:r>
      <w:r w:rsidRPr="00395DBC">
        <w:rPr>
          <w:rFonts w:ascii="Bookman Old Style" w:hAnsi="Bookman Old Style" w:cs="Arial"/>
          <w:i w:val="0"/>
          <w:spacing w:val="-2"/>
        </w:rPr>
        <w:t>s</w:t>
      </w:r>
      <w:r w:rsidRPr="00395DBC">
        <w:rPr>
          <w:rFonts w:ascii="Bookman Old Style" w:hAnsi="Bookman Old Style" w:cs="Arial"/>
          <w:i w:val="0"/>
          <w:spacing w:val="-1"/>
        </w:rPr>
        <w:t>e</w:t>
      </w:r>
      <w:r w:rsidRPr="00395DBC">
        <w:rPr>
          <w:rFonts w:ascii="Bookman Old Style" w:hAnsi="Bookman Old Style" w:cs="Arial"/>
          <w:i w:val="0"/>
        </w:rPr>
        <w:t>ign</w:t>
      </w:r>
      <w:r w:rsidRPr="00395DBC">
        <w:rPr>
          <w:rFonts w:ascii="Bookman Old Style" w:hAnsi="Bookman Old Style" w:cs="Arial"/>
          <w:i w:val="0"/>
          <w:spacing w:val="-1"/>
        </w:rPr>
        <w:t>e</w:t>
      </w:r>
      <w:r w:rsidRPr="00395DBC">
        <w:rPr>
          <w:rFonts w:ascii="Bookman Old Style" w:hAnsi="Bookman Old Style" w:cs="Arial"/>
          <w:i w:val="0"/>
        </w:rPr>
        <w:t>m</w:t>
      </w:r>
      <w:r w:rsidRPr="00395DBC">
        <w:rPr>
          <w:rFonts w:ascii="Bookman Old Style" w:hAnsi="Bookman Old Style" w:cs="Arial"/>
          <w:i w:val="0"/>
          <w:spacing w:val="-1"/>
        </w:rPr>
        <w:t>e</w:t>
      </w:r>
      <w:r w:rsidRPr="00395DBC">
        <w:rPr>
          <w:rFonts w:ascii="Bookman Old Style" w:hAnsi="Bookman Old Style" w:cs="Arial"/>
          <w:i w:val="0"/>
        </w:rPr>
        <w:t>nt.</w:t>
      </w:r>
    </w:p>
    <w:p w:rsidR="00070E5D" w:rsidRPr="00395DBC" w:rsidRDefault="00070E5D" w:rsidP="00070E5D">
      <w:pPr>
        <w:pStyle w:val="Corpsdetexte3"/>
        <w:numPr>
          <w:ilvl w:val="0"/>
          <w:numId w:val="34"/>
        </w:numPr>
        <w:tabs>
          <w:tab w:val="left" w:pos="6300"/>
        </w:tabs>
        <w:spacing w:before="120"/>
        <w:jc w:val="both"/>
        <w:rPr>
          <w:rFonts w:ascii="Bookman Old Style" w:hAnsi="Bookman Old Style" w:cs="Arial"/>
          <w:sz w:val="20"/>
          <w:szCs w:val="20"/>
        </w:rPr>
      </w:pPr>
      <w:r w:rsidRPr="00395DBC">
        <w:rPr>
          <w:rFonts w:ascii="Bookman Old Style" w:hAnsi="Bookman Old Style" w:cs="Arial"/>
          <w:sz w:val="20"/>
          <w:szCs w:val="20"/>
        </w:rPr>
        <w:t xml:space="preserve">La composition des unités d’enseignement </w:t>
      </w:r>
    </w:p>
    <w:p w:rsidR="00070E5D" w:rsidRPr="00395DBC" w:rsidRDefault="00070E5D" w:rsidP="00070E5D">
      <w:pPr>
        <w:pStyle w:val="Blocdecitation"/>
        <w:spacing w:before="120"/>
        <w:ind w:right="0"/>
        <w:jc w:val="both"/>
        <w:rPr>
          <w:rFonts w:ascii="Bookman Old Style" w:hAnsi="Bookman Old Style" w:cs="Arial"/>
          <w:i w:val="0"/>
        </w:rPr>
      </w:pPr>
      <w:r w:rsidRPr="00395DBC">
        <w:rPr>
          <w:rFonts w:ascii="Bookman Old Style" w:hAnsi="Bookman Old Style" w:cs="Arial"/>
          <w:b/>
          <w:i w:val="0"/>
        </w:rPr>
        <w:t>Disposition n°16 :</w:t>
      </w:r>
      <w:r w:rsidRPr="00395DBC">
        <w:rPr>
          <w:rFonts w:ascii="Bookman Old Style" w:hAnsi="Bookman Old Style" w:cs="Arial"/>
          <w:i w:val="0"/>
        </w:rPr>
        <w:t xml:space="preserve"> Une unité d’enseignement peut être composée d’un ou de plusieurs éléments constitutifs. L’évaluation des étudiants pourra être organisée au niveau de l’UE, y compris lorsqu’il y a plusieurs éléments constitutifs.</w:t>
      </w:r>
    </w:p>
    <w:p w:rsidR="00070E5D" w:rsidRPr="00395DBC" w:rsidRDefault="00070E5D" w:rsidP="00070E5D">
      <w:pPr>
        <w:pStyle w:val="Corpsdetexte3"/>
        <w:numPr>
          <w:ilvl w:val="0"/>
          <w:numId w:val="37"/>
        </w:numPr>
        <w:spacing w:before="120"/>
        <w:jc w:val="both"/>
        <w:rPr>
          <w:rFonts w:ascii="Bookman Old Style" w:hAnsi="Bookman Old Style" w:cs="Arial"/>
          <w:sz w:val="20"/>
          <w:szCs w:val="20"/>
        </w:rPr>
      </w:pPr>
      <w:r w:rsidRPr="00395DBC">
        <w:rPr>
          <w:rFonts w:ascii="Bookman Old Style" w:hAnsi="Bookman Old Style" w:cs="Arial"/>
          <w:sz w:val="20"/>
          <w:szCs w:val="20"/>
        </w:rPr>
        <w:t>La détermination du résultat de l’étudiant en première année de Master</w:t>
      </w:r>
    </w:p>
    <w:p w:rsidR="00070E5D" w:rsidRPr="00395DBC" w:rsidRDefault="00070E5D" w:rsidP="00070E5D">
      <w:pPr>
        <w:pStyle w:val="Blocdecitation"/>
        <w:spacing w:before="120"/>
        <w:ind w:right="0"/>
        <w:jc w:val="both"/>
        <w:rPr>
          <w:rFonts w:ascii="Bookman Old Style" w:hAnsi="Bookman Old Style" w:cs="Arial"/>
          <w:sz w:val="24"/>
          <w:szCs w:val="24"/>
        </w:rPr>
      </w:pPr>
      <w:r w:rsidRPr="00395DBC">
        <w:rPr>
          <w:rFonts w:ascii="Bookman Old Style" w:hAnsi="Bookman Old Style" w:cs="Arial"/>
          <w:b/>
          <w:i w:val="0"/>
        </w:rPr>
        <w:t>Disposition n°17 :</w:t>
      </w:r>
      <w:r w:rsidRPr="00395DBC">
        <w:rPr>
          <w:rFonts w:ascii="Bookman Old Style" w:hAnsi="Bookman Old Style" w:cs="Arial"/>
          <w:i w:val="0"/>
        </w:rPr>
        <w:t xml:space="preserve"> Lorsque l’évaluation des étudiants s’opère au niveau de chacun des éléments constitutifs de l’UE, le résultat obtenu à celle-ci est donné par la moyenne pondérée des notes acquises aux éléments constitutifs (compensation intra UE).</w:t>
      </w:r>
    </w:p>
    <w:p w:rsidR="00070E5D" w:rsidRPr="00395DBC" w:rsidRDefault="00070E5D" w:rsidP="00070E5D">
      <w:pPr>
        <w:pStyle w:val="Blocdecitation"/>
        <w:tabs>
          <w:tab w:val="left" w:pos="9072"/>
        </w:tabs>
        <w:spacing w:before="120"/>
        <w:ind w:right="0"/>
        <w:jc w:val="both"/>
        <w:rPr>
          <w:rFonts w:ascii="Bookman Old Style" w:hAnsi="Bookman Old Style" w:cs="Arial"/>
          <w:i w:val="0"/>
        </w:rPr>
      </w:pPr>
      <w:r w:rsidRPr="00395DBC">
        <w:rPr>
          <w:rFonts w:ascii="Bookman Old Style" w:hAnsi="Bookman Old Style" w:cs="Arial"/>
          <w:b/>
          <w:i w:val="0"/>
        </w:rPr>
        <w:t>Disposition n°18 :</w:t>
      </w:r>
      <w:r w:rsidRPr="00395DBC">
        <w:rPr>
          <w:rFonts w:ascii="Bookman Old Style" w:hAnsi="Bookman Old Style" w:cs="Arial"/>
          <w:i w:val="0"/>
        </w:rPr>
        <w:t xml:space="preserve"> Les UE « disciplinaires » (i.e., hors l’ensemble des UE relatives aux stages « professionnels ») d’un même semestre se compensent entre elles compte tenu de leur coefficient de pondération (Compensation intra semestre). Lorsque le coefficient n’est pas précisé, la compensation se fera en se rapportant au nombre d’ECTS des UE considérées. Chaque équipe de formation détermine les modalités de compensation concernant les notes de stages.</w:t>
      </w:r>
    </w:p>
    <w:p w:rsidR="00070E5D" w:rsidRPr="00395DBC" w:rsidRDefault="00070E5D" w:rsidP="00070E5D">
      <w:pPr>
        <w:pStyle w:val="Blocdecitation"/>
        <w:tabs>
          <w:tab w:val="left" w:pos="9072"/>
        </w:tabs>
        <w:spacing w:before="120"/>
        <w:ind w:right="0"/>
        <w:jc w:val="both"/>
        <w:rPr>
          <w:rFonts w:ascii="Bookman Old Style" w:hAnsi="Bookman Old Style" w:cs="Arial"/>
          <w:i w:val="0"/>
        </w:rPr>
      </w:pPr>
      <w:r w:rsidRPr="00395DBC">
        <w:rPr>
          <w:rFonts w:ascii="Bookman Old Style" w:hAnsi="Bookman Old Style" w:cs="Arial"/>
          <w:b/>
          <w:i w:val="0"/>
        </w:rPr>
        <w:t>Disposition n°19 :</w:t>
      </w:r>
      <w:r w:rsidRPr="00395DBC">
        <w:rPr>
          <w:rFonts w:ascii="Bookman Old Style" w:hAnsi="Bookman Old Style" w:cs="Arial"/>
          <w:i w:val="0"/>
        </w:rPr>
        <w:t xml:space="preserve"> Si la moyenne des notes obtenues à un semestre est supérieure ou égale à 10,  l’étudiant est déclaré admis à celui-ci. </w:t>
      </w:r>
    </w:p>
    <w:p w:rsidR="00070E5D" w:rsidRPr="00395DBC" w:rsidRDefault="00070E5D" w:rsidP="00070E5D">
      <w:pPr>
        <w:pStyle w:val="Blocdecitation"/>
        <w:tabs>
          <w:tab w:val="left" w:pos="9072"/>
        </w:tabs>
        <w:spacing w:before="120"/>
        <w:ind w:right="0"/>
        <w:jc w:val="both"/>
        <w:rPr>
          <w:rFonts w:ascii="Bookman Old Style" w:hAnsi="Bookman Old Style" w:cs="Arial"/>
          <w:i w:val="0"/>
        </w:rPr>
      </w:pPr>
      <w:r w:rsidRPr="00395DBC">
        <w:rPr>
          <w:rFonts w:ascii="Bookman Old Style" w:hAnsi="Bookman Old Style" w:cs="Arial"/>
          <w:i w:val="0"/>
        </w:rPr>
        <w:t xml:space="preserve">Sinon l’étudiant est déclaré </w:t>
      </w:r>
      <w:r w:rsidRPr="00395DBC">
        <w:rPr>
          <w:rFonts w:ascii="Bookman Old Style" w:hAnsi="Bookman Old Style" w:cs="Arial"/>
          <w:iCs/>
        </w:rPr>
        <w:t>non admis</w:t>
      </w:r>
    </w:p>
    <w:p w:rsidR="00070E5D" w:rsidRPr="00395DBC" w:rsidRDefault="00070E5D" w:rsidP="00070E5D">
      <w:pPr>
        <w:pStyle w:val="Blocdecitation"/>
        <w:tabs>
          <w:tab w:val="left" w:pos="9072"/>
          <w:tab w:val="left" w:pos="9639"/>
        </w:tabs>
        <w:spacing w:before="120"/>
        <w:ind w:right="0"/>
        <w:jc w:val="both"/>
        <w:rPr>
          <w:rFonts w:ascii="Bookman Old Style" w:hAnsi="Bookman Old Style" w:cs="Arial"/>
          <w:i w:val="0"/>
        </w:rPr>
      </w:pPr>
      <w:r w:rsidRPr="00395DBC">
        <w:rPr>
          <w:rFonts w:ascii="Bookman Old Style" w:hAnsi="Bookman Old Style" w:cs="Arial"/>
          <w:b/>
          <w:i w:val="0"/>
        </w:rPr>
        <w:t>Disposition n°20 :</w:t>
      </w:r>
      <w:r w:rsidRPr="00395DBC">
        <w:rPr>
          <w:rFonts w:ascii="Bookman Old Style" w:hAnsi="Bookman Old Style" w:cs="Arial"/>
          <w:i w:val="0"/>
        </w:rPr>
        <w:t xml:space="preserve"> Si la note moyenne obtenue à une UE est supérieure ou égale à 10, l’étudiant est déclaré </w:t>
      </w:r>
      <w:r w:rsidRPr="00395DBC">
        <w:rPr>
          <w:rFonts w:ascii="Bookman Old Style" w:hAnsi="Bookman Old Style" w:cs="Arial"/>
          <w:iCs/>
        </w:rPr>
        <w:t>admis</w:t>
      </w:r>
      <w:r w:rsidRPr="00395DBC">
        <w:rPr>
          <w:rFonts w:ascii="Bookman Old Style" w:hAnsi="Bookman Old Style" w:cs="Arial"/>
          <w:i w:val="0"/>
        </w:rPr>
        <w:t xml:space="preserve"> à celle-ci.</w:t>
      </w:r>
    </w:p>
    <w:p w:rsidR="00070E5D" w:rsidRPr="00395DBC" w:rsidRDefault="00070E5D" w:rsidP="00070E5D">
      <w:pPr>
        <w:pStyle w:val="Blocdecitation"/>
        <w:tabs>
          <w:tab w:val="left" w:pos="9072"/>
        </w:tabs>
        <w:spacing w:before="120"/>
        <w:ind w:right="0"/>
        <w:jc w:val="both"/>
        <w:rPr>
          <w:rFonts w:ascii="Bookman Old Style" w:hAnsi="Bookman Old Style" w:cs="Arial"/>
          <w:i w:val="0"/>
        </w:rPr>
      </w:pPr>
      <w:r w:rsidRPr="00395DBC">
        <w:rPr>
          <w:rFonts w:ascii="Bookman Old Style" w:hAnsi="Bookman Old Style" w:cs="Arial"/>
          <w:b/>
          <w:i w:val="0"/>
        </w:rPr>
        <w:t>Disposition n°21 :</w:t>
      </w:r>
      <w:r w:rsidRPr="00395DBC">
        <w:rPr>
          <w:rFonts w:ascii="Bookman Old Style" w:hAnsi="Bookman Old Style" w:cs="Arial"/>
          <w:i w:val="0"/>
        </w:rPr>
        <w:t xml:space="preserve"> En M1, les notes inférieures à la moyenne ne peuvent être reportées d’une session sur une autre</w:t>
      </w:r>
    </w:p>
    <w:p w:rsidR="00070E5D" w:rsidRPr="00395DBC" w:rsidRDefault="00070E5D" w:rsidP="00070E5D">
      <w:pPr>
        <w:pStyle w:val="Blocdecitation"/>
        <w:numPr>
          <w:ilvl w:val="0"/>
          <w:numId w:val="35"/>
        </w:numPr>
        <w:pBdr>
          <w:left w:val="none" w:sz="0" w:space="0" w:color="auto"/>
          <w:bottom w:val="none" w:sz="0" w:space="0" w:color="auto"/>
        </w:pBdr>
        <w:spacing w:after="0"/>
        <w:ind w:right="0"/>
        <w:jc w:val="both"/>
        <w:rPr>
          <w:rFonts w:ascii="Bookman Old Style" w:hAnsi="Bookman Old Style" w:cs="Arial"/>
          <w:i w:val="0"/>
        </w:rPr>
      </w:pPr>
      <w:r w:rsidRPr="00395DBC">
        <w:rPr>
          <w:rFonts w:ascii="Bookman Old Style" w:hAnsi="Bookman Old Style" w:cs="Arial"/>
          <w:i w:val="0"/>
        </w:rPr>
        <w:t xml:space="preserve">Si la note moyenne obtenue à une UE est inférieure à 10 mais que l’étudiant est </w:t>
      </w:r>
      <w:r w:rsidRPr="00395DBC">
        <w:rPr>
          <w:rFonts w:ascii="Bookman Old Style" w:hAnsi="Bookman Old Style" w:cs="Arial"/>
          <w:iCs/>
        </w:rPr>
        <w:t>admis</w:t>
      </w:r>
      <w:r w:rsidRPr="00395DBC">
        <w:rPr>
          <w:rFonts w:ascii="Bookman Old Style" w:hAnsi="Bookman Old Style" w:cs="Arial"/>
          <w:i w:val="0"/>
        </w:rPr>
        <w:t xml:space="preserve"> au semestre qui comprend cette UE il est déclaré </w:t>
      </w:r>
      <w:r w:rsidRPr="00395DBC">
        <w:rPr>
          <w:rFonts w:ascii="Bookman Old Style" w:hAnsi="Bookman Old Style" w:cs="Arial"/>
          <w:iCs/>
        </w:rPr>
        <w:t>admis</w:t>
      </w:r>
      <w:r w:rsidRPr="00395DBC">
        <w:rPr>
          <w:rFonts w:ascii="Bookman Old Style" w:hAnsi="Bookman Old Style" w:cs="Arial"/>
          <w:i w:val="0"/>
        </w:rPr>
        <w:t xml:space="preserve"> </w:t>
      </w:r>
      <w:r w:rsidRPr="00395DBC">
        <w:rPr>
          <w:rFonts w:ascii="Bookman Old Style" w:hAnsi="Bookman Old Style" w:cs="Arial"/>
          <w:iCs/>
        </w:rPr>
        <w:t>par</w:t>
      </w:r>
      <w:r w:rsidRPr="00395DBC">
        <w:rPr>
          <w:rFonts w:ascii="Bookman Old Style" w:hAnsi="Bookman Old Style" w:cs="Arial"/>
          <w:i w:val="0"/>
        </w:rPr>
        <w:t xml:space="preserve"> </w:t>
      </w:r>
      <w:r w:rsidRPr="00395DBC">
        <w:rPr>
          <w:rFonts w:ascii="Bookman Old Style" w:hAnsi="Bookman Old Style" w:cs="Arial"/>
          <w:iCs/>
        </w:rPr>
        <w:t>compensation</w:t>
      </w:r>
      <w:r w:rsidRPr="00395DBC">
        <w:rPr>
          <w:rFonts w:ascii="Bookman Old Style" w:hAnsi="Bookman Old Style" w:cs="Arial"/>
          <w:i w:val="0"/>
        </w:rPr>
        <w:t xml:space="preserve"> à celle-ci.</w:t>
      </w:r>
    </w:p>
    <w:p w:rsidR="00070E5D" w:rsidRPr="00395DBC" w:rsidRDefault="00070E5D" w:rsidP="00070E5D">
      <w:pPr>
        <w:pStyle w:val="Blocdecitation"/>
        <w:numPr>
          <w:ilvl w:val="0"/>
          <w:numId w:val="35"/>
        </w:numPr>
        <w:pBdr>
          <w:left w:val="none" w:sz="0" w:space="0" w:color="auto"/>
          <w:bottom w:val="none" w:sz="0" w:space="0" w:color="auto"/>
        </w:pBdr>
        <w:spacing w:after="0"/>
        <w:ind w:right="0"/>
        <w:jc w:val="both"/>
        <w:rPr>
          <w:rFonts w:ascii="Bookman Old Style" w:hAnsi="Bookman Old Style" w:cs="Arial"/>
          <w:i w:val="0"/>
        </w:rPr>
      </w:pPr>
      <w:r w:rsidRPr="00395DBC">
        <w:rPr>
          <w:rFonts w:ascii="Bookman Old Style" w:hAnsi="Bookman Old Style" w:cs="Arial"/>
          <w:i w:val="0"/>
        </w:rPr>
        <w:t xml:space="preserve">Si la note moyenne obtenue à une UE est inférieure à 10 et que l’étudiant est </w:t>
      </w:r>
      <w:r w:rsidRPr="00395DBC">
        <w:rPr>
          <w:rFonts w:ascii="Bookman Old Style" w:hAnsi="Bookman Old Style" w:cs="Arial"/>
          <w:iCs/>
        </w:rPr>
        <w:t>non</w:t>
      </w:r>
      <w:r w:rsidRPr="00395DBC">
        <w:rPr>
          <w:rFonts w:ascii="Bookman Old Style" w:hAnsi="Bookman Old Style" w:cs="Arial"/>
          <w:i w:val="0"/>
        </w:rPr>
        <w:t xml:space="preserve"> </w:t>
      </w:r>
      <w:r w:rsidRPr="00395DBC">
        <w:rPr>
          <w:rFonts w:ascii="Bookman Old Style" w:hAnsi="Bookman Old Style" w:cs="Arial"/>
          <w:iCs/>
        </w:rPr>
        <w:t>admis</w:t>
      </w:r>
      <w:r w:rsidRPr="00395DBC">
        <w:rPr>
          <w:rFonts w:ascii="Bookman Old Style" w:hAnsi="Bookman Old Style" w:cs="Arial"/>
          <w:i w:val="0"/>
        </w:rPr>
        <w:t xml:space="preserve"> au semestre  qui comprend cette UE, il est déclaré </w:t>
      </w:r>
      <w:r w:rsidRPr="00395DBC">
        <w:rPr>
          <w:rFonts w:ascii="Bookman Old Style" w:hAnsi="Bookman Old Style" w:cs="Arial"/>
          <w:iCs/>
        </w:rPr>
        <w:t>non</w:t>
      </w:r>
      <w:r w:rsidRPr="00395DBC">
        <w:rPr>
          <w:rFonts w:ascii="Bookman Old Style" w:hAnsi="Bookman Old Style" w:cs="Arial"/>
          <w:i w:val="0"/>
        </w:rPr>
        <w:t xml:space="preserve"> </w:t>
      </w:r>
      <w:r w:rsidRPr="00395DBC">
        <w:rPr>
          <w:rFonts w:ascii="Bookman Old Style" w:hAnsi="Bookman Old Style" w:cs="Arial"/>
          <w:iCs/>
        </w:rPr>
        <w:t>admis</w:t>
      </w:r>
      <w:r w:rsidRPr="00395DBC">
        <w:rPr>
          <w:rFonts w:ascii="Bookman Old Style" w:hAnsi="Bookman Old Style" w:cs="Arial"/>
          <w:i w:val="0"/>
        </w:rPr>
        <w:t xml:space="preserve"> à cette UE.</w:t>
      </w:r>
    </w:p>
    <w:p w:rsidR="00070E5D" w:rsidRPr="00395DBC" w:rsidRDefault="00070E5D" w:rsidP="00070E5D">
      <w:pPr>
        <w:pStyle w:val="Blocdecitation"/>
        <w:numPr>
          <w:ilvl w:val="0"/>
          <w:numId w:val="35"/>
        </w:numPr>
        <w:pBdr>
          <w:left w:val="none" w:sz="0" w:space="0" w:color="auto"/>
          <w:bottom w:val="none" w:sz="0" w:space="0" w:color="auto"/>
        </w:pBdr>
        <w:spacing w:after="0"/>
        <w:ind w:right="0"/>
        <w:jc w:val="both"/>
        <w:rPr>
          <w:rFonts w:ascii="Bookman Old Style" w:hAnsi="Bookman Old Style" w:cs="Arial"/>
          <w:i w:val="0"/>
        </w:rPr>
      </w:pPr>
      <w:r w:rsidRPr="00395DBC">
        <w:rPr>
          <w:rFonts w:ascii="Bookman Old Style" w:hAnsi="Bookman Old Style" w:cs="Arial"/>
          <w:i w:val="0"/>
        </w:rPr>
        <w:lastRenderedPageBreak/>
        <w:t xml:space="preserve">Si la compensation « intra UE » ne peut s’effectuer en raison d’une défaillance à l’un de ses EC, l’étudiant est déclaré </w:t>
      </w:r>
      <w:r w:rsidRPr="00395DBC">
        <w:rPr>
          <w:rFonts w:ascii="Bookman Old Style" w:hAnsi="Bookman Old Style" w:cs="Arial"/>
          <w:iCs/>
        </w:rPr>
        <w:t>défaillant</w:t>
      </w:r>
      <w:r w:rsidRPr="00395DBC">
        <w:rPr>
          <w:rFonts w:ascii="Bookman Old Style" w:hAnsi="Bookman Old Style" w:cs="Arial"/>
          <w:i w:val="0"/>
        </w:rPr>
        <w:t xml:space="preserve"> à cette UE.</w:t>
      </w:r>
    </w:p>
    <w:p w:rsidR="00070E5D" w:rsidRPr="00395DBC" w:rsidRDefault="00070E5D" w:rsidP="00070E5D">
      <w:pPr>
        <w:pStyle w:val="Blocdecitation"/>
        <w:pBdr>
          <w:left w:val="none" w:sz="0" w:space="0" w:color="auto"/>
          <w:bottom w:val="none" w:sz="0" w:space="0" w:color="auto"/>
        </w:pBdr>
        <w:spacing w:after="0"/>
        <w:ind w:left="720" w:right="0"/>
        <w:jc w:val="both"/>
        <w:rPr>
          <w:rFonts w:ascii="Bookman Old Style" w:hAnsi="Bookman Old Style" w:cs="Arial"/>
          <w:i w:val="0"/>
        </w:rPr>
      </w:pPr>
      <w:r w:rsidRPr="00395DBC">
        <w:rPr>
          <w:rFonts w:ascii="Bookman Old Style" w:hAnsi="Bookman Old Style" w:cs="Arial"/>
          <w:i w:val="0"/>
        </w:rPr>
        <w:t xml:space="preserve">Tout résultat « ABI » à un élément pédagogique particulier donne lieu à un résultat général de </w:t>
      </w:r>
      <w:r w:rsidRPr="00395DBC">
        <w:rPr>
          <w:rFonts w:ascii="Bookman Old Style" w:hAnsi="Bookman Old Style" w:cs="Arial"/>
          <w:iCs/>
        </w:rPr>
        <w:t>Défaillant</w:t>
      </w:r>
      <w:r w:rsidRPr="00395DBC">
        <w:rPr>
          <w:rFonts w:ascii="Bookman Old Style" w:hAnsi="Bookman Old Style" w:cs="Arial"/>
          <w:i w:val="0"/>
        </w:rPr>
        <w:t xml:space="preserve"> au semestre en question</w:t>
      </w:r>
    </w:p>
    <w:p w:rsidR="00070E5D" w:rsidRPr="00395DBC" w:rsidRDefault="00070E5D" w:rsidP="00070E5D">
      <w:pPr>
        <w:pStyle w:val="Blocdecitation"/>
        <w:numPr>
          <w:ilvl w:val="0"/>
          <w:numId w:val="38"/>
        </w:numPr>
        <w:pBdr>
          <w:left w:val="none" w:sz="0" w:space="0" w:color="auto"/>
          <w:bottom w:val="none" w:sz="0" w:space="0" w:color="auto"/>
        </w:pBdr>
        <w:spacing w:after="0"/>
        <w:ind w:left="709" w:right="0"/>
        <w:jc w:val="both"/>
        <w:rPr>
          <w:rFonts w:ascii="Bookman Old Style" w:hAnsi="Bookman Old Style" w:cs="Arial"/>
          <w:i w:val="0"/>
        </w:rPr>
      </w:pPr>
      <w:r w:rsidRPr="00395DBC">
        <w:rPr>
          <w:rFonts w:ascii="Bookman Old Style" w:hAnsi="Bookman Old Style" w:cs="Arial"/>
          <w:i w:val="0"/>
        </w:rPr>
        <w:t xml:space="preserve">Si le résultat à une UE ou à un EC est inférieur à 10, et qu’il est déclaré </w:t>
      </w:r>
      <w:r w:rsidRPr="00395DBC">
        <w:rPr>
          <w:rFonts w:ascii="Bookman Old Style" w:hAnsi="Bookman Old Style" w:cs="Arial"/>
        </w:rPr>
        <w:t>non admis</w:t>
      </w:r>
      <w:r w:rsidRPr="00395DBC">
        <w:rPr>
          <w:rFonts w:ascii="Bookman Old Style" w:hAnsi="Bookman Old Style" w:cs="Arial"/>
          <w:i w:val="0"/>
        </w:rPr>
        <w:t xml:space="preserve"> en 1</w:t>
      </w:r>
      <w:r w:rsidRPr="00395DBC">
        <w:rPr>
          <w:rFonts w:ascii="Bookman Old Style" w:hAnsi="Bookman Old Style" w:cs="Arial"/>
          <w:i w:val="0"/>
          <w:vertAlign w:val="superscript"/>
        </w:rPr>
        <w:t>ère</w:t>
      </w:r>
      <w:r w:rsidRPr="00395DBC">
        <w:rPr>
          <w:rFonts w:ascii="Bookman Old Style" w:hAnsi="Bookman Old Style" w:cs="Arial"/>
          <w:i w:val="0"/>
        </w:rPr>
        <w:t xml:space="preserve"> session, la meilleure des notes obtenue entre la 1</w:t>
      </w:r>
      <w:r w:rsidRPr="00395DBC">
        <w:rPr>
          <w:rFonts w:ascii="Bookman Old Style" w:hAnsi="Bookman Old Style" w:cs="Arial"/>
          <w:i w:val="0"/>
          <w:vertAlign w:val="superscript"/>
        </w:rPr>
        <w:t>ère</w:t>
      </w:r>
      <w:r w:rsidRPr="00395DBC">
        <w:rPr>
          <w:rFonts w:ascii="Bookman Old Style" w:hAnsi="Bookman Old Style" w:cs="Arial"/>
          <w:i w:val="0"/>
        </w:rPr>
        <w:t xml:space="preserve"> et la 2</w:t>
      </w:r>
      <w:r w:rsidRPr="00395DBC">
        <w:rPr>
          <w:rFonts w:ascii="Bookman Old Style" w:hAnsi="Bookman Old Style" w:cs="Arial"/>
          <w:i w:val="0"/>
          <w:vertAlign w:val="superscript"/>
        </w:rPr>
        <w:t>ème</w:t>
      </w:r>
      <w:r w:rsidRPr="00395DBC">
        <w:rPr>
          <w:rFonts w:ascii="Bookman Old Style" w:hAnsi="Bookman Old Style" w:cs="Arial"/>
          <w:i w:val="0"/>
        </w:rPr>
        <w:t xml:space="preserve"> session (lorsque celle-ci existe et que l’étudiant est venu composer à la deuxième session) sera prise en compte pour le résultat global de l’étudiant et la tenue du jury se déroulant à l’issue de la 2</w:t>
      </w:r>
      <w:r w:rsidRPr="00395DBC">
        <w:rPr>
          <w:rFonts w:ascii="Bookman Old Style" w:hAnsi="Bookman Old Style" w:cs="Arial"/>
          <w:i w:val="0"/>
          <w:vertAlign w:val="superscript"/>
        </w:rPr>
        <w:t>ème</w:t>
      </w:r>
      <w:r w:rsidRPr="00395DBC">
        <w:rPr>
          <w:rFonts w:ascii="Bookman Old Style" w:hAnsi="Bookman Old Style" w:cs="Arial"/>
          <w:i w:val="0"/>
        </w:rPr>
        <w:t xml:space="preserve"> session.</w:t>
      </w:r>
    </w:p>
    <w:p w:rsidR="00070E5D" w:rsidRPr="00395DBC" w:rsidRDefault="00070E5D" w:rsidP="00070E5D">
      <w:pPr>
        <w:pStyle w:val="Blocdecitation"/>
        <w:pBdr>
          <w:left w:val="none" w:sz="0" w:space="0" w:color="auto"/>
          <w:bottom w:val="none" w:sz="0" w:space="0" w:color="auto"/>
        </w:pBdr>
        <w:spacing w:after="0"/>
        <w:ind w:left="720" w:right="0"/>
        <w:jc w:val="both"/>
        <w:rPr>
          <w:rFonts w:ascii="Bookman Old Style" w:hAnsi="Bookman Old Style" w:cs="Arial"/>
          <w:i w:val="0"/>
        </w:rPr>
      </w:pPr>
    </w:p>
    <w:p w:rsidR="00070E5D" w:rsidRPr="00395DBC" w:rsidRDefault="00070E5D" w:rsidP="00070E5D">
      <w:pPr>
        <w:pStyle w:val="Blocdecitation"/>
        <w:tabs>
          <w:tab w:val="left" w:pos="-1985"/>
        </w:tabs>
        <w:spacing w:before="120"/>
        <w:ind w:left="1418" w:right="-142"/>
        <w:jc w:val="both"/>
        <w:rPr>
          <w:rFonts w:ascii="Bookman Old Style" w:hAnsi="Bookman Old Style" w:cs="Arial"/>
          <w:i w:val="0"/>
        </w:rPr>
      </w:pPr>
      <w:r w:rsidRPr="00395DBC">
        <w:rPr>
          <w:rFonts w:ascii="Bookman Old Style" w:hAnsi="Bookman Old Style" w:cs="Arial"/>
          <w:b/>
          <w:i w:val="0"/>
        </w:rPr>
        <w:t>Disposition n°22 :</w:t>
      </w:r>
      <w:r w:rsidRPr="00395DBC">
        <w:rPr>
          <w:rFonts w:ascii="Bookman Old Style" w:hAnsi="Bookman Old Style" w:cs="Arial"/>
          <w:i w:val="0"/>
        </w:rPr>
        <w:t xml:space="preserve"> Les deux semestres de la première année de Master se compensent.</w:t>
      </w:r>
    </w:p>
    <w:p w:rsidR="00070E5D" w:rsidRPr="00395DBC" w:rsidRDefault="00070E5D" w:rsidP="00070E5D">
      <w:pPr>
        <w:pStyle w:val="Blocdecitation"/>
        <w:pBdr>
          <w:bottom w:val="single" w:sz="48" w:space="0" w:color="FFFFFF"/>
        </w:pBdr>
        <w:tabs>
          <w:tab w:val="left" w:pos="9072"/>
        </w:tabs>
        <w:spacing w:after="0"/>
        <w:ind w:right="0"/>
        <w:jc w:val="both"/>
        <w:rPr>
          <w:rFonts w:ascii="Bookman Old Style" w:hAnsi="Bookman Old Style" w:cs="Arial"/>
          <w:i w:val="0"/>
        </w:rPr>
      </w:pPr>
      <w:r w:rsidRPr="00395DBC">
        <w:rPr>
          <w:rFonts w:ascii="Bookman Old Style" w:hAnsi="Bookman Old Style" w:cs="Arial"/>
          <w:b/>
          <w:bCs/>
          <w:i w:val="0"/>
        </w:rPr>
        <w:t>Disposition</w:t>
      </w:r>
      <w:r w:rsidRPr="00395DBC">
        <w:rPr>
          <w:rFonts w:ascii="Bookman Old Style" w:hAnsi="Bookman Old Style" w:cs="Arial"/>
          <w:i w:val="0"/>
        </w:rPr>
        <w:t xml:space="preserve"> </w:t>
      </w:r>
      <w:r w:rsidRPr="00395DBC">
        <w:rPr>
          <w:rFonts w:ascii="Bookman Old Style" w:hAnsi="Bookman Old Style" w:cs="Arial"/>
          <w:b/>
          <w:bCs/>
          <w:i w:val="0"/>
        </w:rPr>
        <w:t>n°23</w:t>
      </w:r>
      <w:r w:rsidRPr="00395DBC">
        <w:rPr>
          <w:rFonts w:ascii="Bookman Old Style" w:hAnsi="Bookman Old Style" w:cs="Arial"/>
          <w:i w:val="0"/>
        </w:rPr>
        <w:t xml:space="preserve"> : Si le résultat obtenu à l’année est supérieur ou égal à 10, l’étudiant est déclaré admis. Une mention est alors attribuée selon le résultat obtenu à l’année. Le calcul de ce résultat se fait en intégrant l’ensemble des UE qui entrent dans la structuration des parcours de formation, </w:t>
      </w:r>
    </w:p>
    <w:p w:rsidR="00070E5D" w:rsidRPr="00395DBC" w:rsidRDefault="00070E5D" w:rsidP="00070E5D">
      <w:pPr>
        <w:pStyle w:val="Blocdecitation"/>
        <w:pBdr>
          <w:bottom w:val="single" w:sz="48" w:space="0" w:color="FFFFFF"/>
        </w:pBdr>
        <w:tabs>
          <w:tab w:val="left" w:pos="9072"/>
        </w:tabs>
        <w:spacing w:after="0"/>
        <w:ind w:right="0"/>
        <w:jc w:val="both"/>
        <w:rPr>
          <w:rFonts w:ascii="Bookman Old Style" w:hAnsi="Bookman Old Style" w:cs="Arial"/>
          <w:i w:val="0"/>
        </w:rPr>
      </w:pPr>
      <w:r w:rsidRPr="00395DBC">
        <w:rPr>
          <w:rFonts w:ascii="Bookman Old Style" w:hAnsi="Bookman Old Style" w:cs="Arial"/>
          <w:i w:val="0"/>
        </w:rPr>
        <w:t xml:space="preserve">Passable si :    10 ≤ </w:t>
      </w:r>
      <w:r w:rsidRPr="00395DBC">
        <w:rPr>
          <w:rFonts w:ascii="Bookman Old Style" w:hAnsi="Bookman Old Style" w:cs="Arial"/>
        </w:rPr>
        <w:t>résultat</w:t>
      </w:r>
      <w:r w:rsidRPr="00395DBC">
        <w:rPr>
          <w:rFonts w:ascii="Bookman Old Style" w:hAnsi="Bookman Old Style" w:cs="Arial"/>
          <w:i w:val="0"/>
        </w:rPr>
        <w:t xml:space="preserve"> &lt; 12</w:t>
      </w:r>
    </w:p>
    <w:p w:rsidR="00070E5D" w:rsidRPr="00395DBC" w:rsidRDefault="00070E5D" w:rsidP="00070E5D">
      <w:pPr>
        <w:pStyle w:val="Blocdecitation"/>
        <w:pBdr>
          <w:bottom w:val="single" w:sz="48" w:space="0" w:color="FFFFFF"/>
        </w:pBdr>
        <w:tabs>
          <w:tab w:val="left" w:pos="9072"/>
        </w:tabs>
        <w:spacing w:after="0"/>
        <w:ind w:right="0"/>
        <w:jc w:val="both"/>
        <w:rPr>
          <w:rFonts w:ascii="Bookman Old Style" w:hAnsi="Bookman Old Style" w:cs="Arial"/>
          <w:i w:val="0"/>
        </w:rPr>
      </w:pPr>
      <w:r w:rsidRPr="00395DBC">
        <w:rPr>
          <w:rFonts w:ascii="Bookman Old Style" w:hAnsi="Bookman Old Style" w:cs="Arial"/>
          <w:i w:val="0"/>
        </w:rPr>
        <w:t xml:space="preserve">Assez bien si : 12 ≤ </w:t>
      </w:r>
      <w:r w:rsidRPr="00395DBC">
        <w:rPr>
          <w:rFonts w:ascii="Bookman Old Style" w:hAnsi="Bookman Old Style" w:cs="Arial"/>
        </w:rPr>
        <w:t>résultat</w:t>
      </w:r>
      <w:r w:rsidRPr="00395DBC">
        <w:rPr>
          <w:rFonts w:ascii="Bookman Old Style" w:hAnsi="Bookman Old Style" w:cs="Arial"/>
          <w:i w:val="0"/>
        </w:rPr>
        <w:t xml:space="preserve"> &lt; 14 </w:t>
      </w:r>
    </w:p>
    <w:p w:rsidR="00070E5D" w:rsidRPr="00395DBC" w:rsidRDefault="00070E5D" w:rsidP="00070E5D">
      <w:pPr>
        <w:pStyle w:val="Blocdecitation"/>
        <w:pBdr>
          <w:bottom w:val="single" w:sz="48" w:space="0" w:color="FFFFFF"/>
        </w:pBdr>
        <w:tabs>
          <w:tab w:val="left" w:pos="9072"/>
        </w:tabs>
        <w:spacing w:after="0"/>
        <w:ind w:right="0"/>
        <w:jc w:val="both"/>
        <w:rPr>
          <w:rFonts w:ascii="Bookman Old Style" w:hAnsi="Bookman Old Style" w:cs="Arial"/>
          <w:i w:val="0"/>
        </w:rPr>
      </w:pPr>
      <w:r w:rsidRPr="00395DBC">
        <w:rPr>
          <w:rFonts w:ascii="Bookman Old Style" w:hAnsi="Bookman Old Style" w:cs="Arial"/>
          <w:i w:val="0"/>
        </w:rPr>
        <w:t xml:space="preserve">Bien si :           14 ≤ </w:t>
      </w:r>
      <w:r w:rsidRPr="00395DBC">
        <w:rPr>
          <w:rFonts w:ascii="Bookman Old Style" w:hAnsi="Bookman Old Style" w:cs="Arial"/>
        </w:rPr>
        <w:t>résultat</w:t>
      </w:r>
      <w:r w:rsidRPr="00395DBC">
        <w:rPr>
          <w:rFonts w:ascii="Bookman Old Style" w:hAnsi="Bookman Old Style" w:cs="Arial"/>
          <w:i w:val="0"/>
        </w:rPr>
        <w:t xml:space="preserve"> &lt; 16 </w:t>
      </w:r>
    </w:p>
    <w:p w:rsidR="00070E5D" w:rsidRPr="00395DBC" w:rsidRDefault="00070E5D" w:rsidP="00070E5D">
      <w:pPr>
        <w:pStyle w:val="Blocdecitation"/>
        <w:pBdr>
          <w:bottom w:val="single" w:sz="48" w:space="0" w:color="FFFFFF"/>
        </w:pBdr>
        <w:tabs>
          <w:tab w:val="left" w:pos="9072"/>
        </w:tabs>
        <w:spacing w:after="0"/>
        <w:ind w:right="0"/>
        <w:jc w:val="both"/>
        <w:rPr>
          <w:rFonts w:ascii="Bookman Old Style" w:hAnsi="Bookman Old Style" w:cs="Arial"/>
        </w:rPr>
      </w:pPr>
      <w:r w:rsidRPr="00395DBC">
        <w:rPr>
          <w:rFonts w:ascii="Bookman Old Style" w:hAnsi="Bookman Old Style" w:cs="Arial"/>
          <w:i w:val="0"/>
        </w:rPr>
        <w:t xml:space="preserve">Très bien si :   16 ≤ </w:t>
      </w:r>
      <w:r w:rsidRPr="00395DBC">
        <w:rPr>
          <w:rFonts w:ascii="Bookman Old Style" w:hAnsi="Bookman Old Style" w:cs="Arial"/>
        </w:rPr>
        <w:t>résultat</w:t>
      </w:r>
    </w:p>
    <w:p w:rsidR="00070E5D" w:rsidRPr="00395DBC" w:rsidRDefault="00070E5D" w:rsidP="00070E5D">
      <w:pPr>
        <w:pStyle w:val="Blocdecitation"/>
        <w:pBdr>
          <w:bottom w:val="single" w:sz="48" w:space="0" w:color="FFFFFF"/>
        </w:pBdr>
        <w:tabs>
          <w:tab w:val="left" w:pos="9072"/>
        </w:tabs>
        <w:spacing w:after="0"/>
        <w:ind w:right="0"/>
        <w:jc w:val="both"/>
        <w:rPr>
          <w:rFonts w:ascii="Bookman Old Style" w:hAnsi="Bookman Old Style" w:cs="Arial"/>
        </w:rPr>
      </w:pPr>
    </w:p>
    <w:p w:rsidR="00070E5D" w:rsidRPr="00395DBC" w:rsidRDefault="00070E5D" w:rsidP="00070E5D">
      <w:pPr>
        <w:pStyle w:val="Corpsdetexte3"/>
        <w:numPr>
          <w:ilvl w:val="0"/>
          <w:numId w:val="36"/>
        </w:numPr>
        <w:tabs>
          <w:tab w:val="left" w:pos="6300"/>
        </w:tabs>
        <w:spacing w:before="120"/>
        <w:jc w:val="both"/>
        <w:rPr>
          <w:rFonts w:ascii="Bookman Old Style" w:hAnsi="Bookman Old Style" w:cs="Arial"/>
          <w:sz w:val="20"/>
          <w:szCs w:val="20"/>
        </w:rPr>
      </w:pPr>
      <w:r w:rsidRPr="00395DBC">
        <w:rPr>
          <w:rFonts w:ascii="Bookman Old Style" w:hAnsi="Bookman Old Style" w:cs="Arial"/>
          <w:sz w:val="20"/>
          <w:szCs w:val="20"/>
        </w:rPr>
        <w:t>La détermination du résultat de l’étudiant en deuxième année de Master</w:t>
      </w:r>
    </w:p>
    <w:p w:rsidR="00070E5D" w:rsidRPr="00395DBC" w:rsidRDefault="00070E5D" w:rsidP="00070E5D">
      <w:pPr>
        <w:pStyle w:val="Blocdecitation"/>
        <w:spacing w:before="120"/>
        <w:ind w:right="0"/>
        <w:jc w:val="both"/>
        <w:rPr>
          <w:rFonts w:ascii="Bookman Old Style" w:hAnsi="Bookman Old Style" w:cs="Arial"/>
          <w:i w:val="0"/>
        </w:rPr>
      </w:pPr>
      <w:r w:rsidRPr="00395DBC">
        <w:rPr>
          <w:rFonts w:ascii="Bookman Old Style" w:hAnsi="Bookman Old Style" w:cs="Arial"/>
          <w:b/>
          <w:i w:val="0"/>
        </w:rPr>
        <w:t>Disposition n°</w:t>
      </w:r>
      <w:r w:rsidRPr="00395DBC">
        <w:rPr>
          <w:rFonts w:ascii="Bookman Old Style" w:hAnsi="Bookman Old Style" w:cs="Arial"/>
          <w:b/>
          <w:bCs/>
          <w:i w:val="0"/>
        </w:rPr>
        <w:t>24 </w:t>
      </w:r>
      <w:r w:rsidRPr="00395DBC">
        <w:rPr>
          <w:rFonts w:ascii="Bookman Old Style" w:hAnsi="Bookman Old Style" w:cs="Arial"/>
          <w:b/>
          <w:i w:val="0"/>
        </w:rPr>
        <w:t>:</w:t>
      </w:r>
      <w:r w:rsidRPr="00395DBC">
        <w:rPr>
          <w:rFonts w:ascii="Bookman Old Style" w:hAnsi="Bookman Old Style" w:cs="Arial"/>
          <w:i w:val="0"/>
        </w:rPr>
        <w:t xml:space="preserve"> L’organisation pédagogique de l’année est semestrielle. Les étudiants bénéficient de deux sessions d’examen. La première session d’examen portant sur le 1</w:t>
      </w:r>
      <w:r w:rsidRPr="00395DBC">
        <w:rPr>
          <w:rFonts w:ascii="Bookman Old Style" w:hAnsi="Bookman Old Style" w:cs="Arial"/>
          <w:i w:val="0"/>
          <w:vertAlign w:val="superscript"/>
        </w:rPr>
        <w:t>e</w:t>
      </w:r>
      <w:r w:rsidRPr="00395DBC">
        <w:rPr>
          <w:rFonts w:ascii="Bookman Old Style" w:hAnsi="Bookman Old Style" w:cs="Arial"/>
          <w:i w:val="0"/>
        </w:rPr>
        <w:t xml:space="preserve"> semestre se déroule au terme des enseignements du 1</w:t>
      </w:r>
      <w:r w:rsidRPr="00395DBC">
        <w:rPr>
          <w:rFonts w:ascii="Bookman Old Style" w:hAnsi="Bookman Old Style" w:cs="Arial"/>
          <w:i w:val="0"/>
          <w:vertAlign w:val="superscript"/>
        </w:rPr>
        <w:t>e</w:t>
      </w:r>
      <w:r w:rsidRPr="00395DBC">
        <w:rPr>
          <w:rFonts w:ascii="Bookman Old Style" w:hAnsi="Bookman Old Style" w:cs="Arial"/>
          <w:i w:val="0"/>
        </w:rPr>
        <w:t xml:space="preserve"> semestre. La première session d’examen portant sur le 2</w:t>
      </w:r>
      <w:r w:rsidRPr="00395DBC">
        <w:rPr>
          <w:rFonts w:ascii="Bookman Old Style" w:hAnsi="Bookman Old Style" w:cs="Arial"/>
          <w:i w:val="0"/>
          <w:vertAlign w:val="superscript"/>
        </w:rPr>
        <w:t>e</w:t>
      </w:r>
      <w:r w:rsidRPr="00395DBC">
        <w:rPr>
          <w:rFonts w:ascii="Bookman Old Style" w:hAnsi="Bookman Old Style" w:cs="Arial"/>
          <w:i w:val="0"/>
        </w:rPr>
        <w:t xml:space="preserve"> semestre se déroule au terme des enseignements du 2</w:t>
      </w:r>
      <w:r w:rsidRPr="00395DBC">
        <w:rPr>
          <w:rFonts w:ascii="Bookman Old Style" w:hAnsi="Bookman Old Style" w:cs="Arial"/>
          <w:i w:val="0"/>
          <w:vertAlign w:val="superscript"/>
        </w:rPr>
        <w:t>e</w:t>
      </w:r>
      <w:r w:rsidRPr="00395DBC">
        <w:rPr>
          <w:rFonts w:ascii="Bookman Old Style" w:hAnsi="Bookman Old Style" w:cs="Arial"/>
          <w:i w:val="0"/>
        </w:rPr>
        <w:t xml:space="preserve"> semestre.  La seconde session, dite de rattrapage, lorsque celle-ci est prévue par les modalités propres aux diplômes</w:t>
      </w:r>
      <w:r w:rsidRPr="00395DBC">
        <w:rPr>
          <w:rFonts w:ascii="Bookman Old Style" w:hAnsi="Bookman Old Style" w:cs="Arial"/>
          <w:i w:val="0"/>
          <w:color w:val="FF0000"/>
        </w:rPr>
        <w:t>,</w:t>
      </w:r>
      <w:r w:rsidRPr="00395DBC">
        <w:rPr>
          <w:rFonts w:ascii="Bookman Old Style" w:hAnsi="Bookman Old Style" w:cs="Arial"/>
          <w:i w:val="0"/>
        </w:rPr>
        <w:t xml:space="preserve"> se déroule en une seule fois. L’évaluation porte sur les enseignements dispensés au premier et second semestre de l’année universitaire.</w:t>
      </w:r>
    </w:p>
    <w:p w:rsidR="00070E5D" w:rsidRPr="00395DBC" w:rsidRDefault="00070E5D" w:rsidP="00070E5D">
      <w:pPr>
        <w:pStyle w:val="Blocdecitation"/>
        <w:spacing w:before="120"/>
        <w:ind w:right="0"/>
        <w:jc w:val="both"/>
        <w:rPr>
          <w:rFonts w:ascii="Bookman Old Style" w:hAnsi="Bookman Old Style" w:cs="Arial"/>
          <w:i w:val="0"/>
        </w:rPr>
      </w:pPr>
      <w:r w:rsidRPr="00395DBC">
        <w:rPr>
          <w:rFonts w:ascii="Bookman Old Style" w:hAnsi="Bookman Old Style" w:cs="Arial"/>
          <w:b/>
          <w:i w:val="0"/>
        </w:rPr>
        <w:t>Disposition n°25 :</w:t>
      </w:r>
      <w:r w:rsidRPr="00395DBC">
        <w:rPr>
          <w:rFonts w:ascii="Bookman Old Style" w:hAnsi="Bookman Old Style" w:cs="Arial"/>
          <w:i w:val="0"/>
        </w:rPr>
        <w:t xml:space="preserve"> Si des modalités spécifiques (par exemple, dispositions spécifiques aux UE disciplinaires et professionnelles ou de recherche) de capitalisation et de compensations peuvent être adoptées (à l’exception de la règle de non report des notes d’une session sur l’autre commune à tous les masters 2 de Paris Ouest), celles-ci doivent être identiques pour tous les parcours d’une même mention.</w:t>
      </w:r>
    </w:p>
    <w:p w:rsidR="00070E5D" w:rsidRPr="00395DBC" w:rsidRDefault="00070E5D" w:rsidP="00070E5D">
      <w:pPr>
        <w:pStyle w:val="Blocdecitation"/>
        <w:tabs>
          <w:tab w:val="left" w:pos="9072"/>
        </w:tabs>
        <w:spacing w:before="120"/>
        <w:ind w:right="0"/>
        <w:jc w:val="both"/>
        <w:rPr>
          <w:rFonts w:ascii="Bookman Old Style" w:hAnsi="Bookman Old Style" w:cs="Arial"/>
          <w:i w:val="0"/>
        </w:rPr>
      </w:pPr>
      <w:r w:rsidRPr="00395DBC">
        <w:rPr>
          <w:rFonts w:ascii="Bookman Old Style" w:hAnsi="Bookman Old Style" w:cs="Arial"/>
          <w:b/>
          <w:i w:val="0"/>
        </w:rPr>
        <w:t>Disposition n°26 :</w:t>
      </w:r>
      <w:r w:rsidRPr="00395DBC">
        <w:rPr>
          <w:rFonts w:ascii="Bookman Old Style" w:hAnsi="Bookman Old Style" w:cs="Arial"/>
          <w:i w:val="0"/>
        </w:rPr>
        <w:t xml:space="preserve"> En M2, les notes inférieures à la moyenne ne peuvent être reportées d’une session sur une autre</w:t>
      </w:r>
    </w:p>
    <w:p w:rsidR="00070E5D" w:rsidRPr="00395DBC" w:rsidRDefault="00070E5D" w:rsidP="00070E5D">
      <w:pPr>
        <w:pStyle w:val="Blocdecitation"/>
        <w:spacing w:before="120"/>
        <w:ind w:right="0"/>
        <w:jc w:val="both"/>
        <w:rPr>
          <w:rFonts w:ascii="Bookman Old Style" w:hAnsi="Bookman Old Style" w:cs="Arial"/>
          <w:i w:val="0"/>
        </w:rPr>
      </w:pPr>
      <w:r w:rsidRPr="00395DBC">
        <w:rPr>
          <w:rFonts w:ascii="Bookman Old Style" w:hAnsi="Bookman Old Style" w:cs="Arial"/>
          <w:b/>
          <w:bCs/>
          <w:i w:val="0"/>
        </w:rPr>
        <w:t>Disposition</w:t>
      </w:r>
      <w:r w:rsidRPr="00395DBC">
        <w:rPr>
          <w:rFonts w:ascii="Bookman Old Style" w:hAnsi="Bookman Old Style" w:cs="Arial"/>
          <w:i w:val="0"/>
        </w:rPr>
        <w:t xml:space="preserve"> </w:t>
      </w:r>
      <w:r w:rsidRPr="00395DBC">
        <w:rPr>
          <w:rFonts w:ascii="Bookman Old Style" w:hAnsi="Bookman Old Style" w:cs="Arial"/>
          <w:b/>
          <w:bCs/>
          <w:i w:val="0"/>
        </w:rPr>
        <w:t>n°27</w:t>
      </w:r>
      <w:r w:rsidRPr="00395DBC">
        <w:rPr>
          <w:rFonts w:ascii="Bookman Old Style" w:hAnsi="Bookman Old Style" w:cs="Arial"/>
          <w:i w:val="0"/>
        </w:rPr>
        <w:t> : À la condition que les modalités de compensation et de capitalisation mentionnées supra soient respectées l’étudiant(e) est déclaré admis(e). L’étudiant(e) se voit attribuer une mention établie à partir de la moyenne entre les deux semestres du M2.</w:t>
      </w:r>
    </w:p>
    <w:p w:rsidR="00070E5D" w:rsidRPr="00395DBC" w:rsidRDefault="00070E5D" w:rsidP="00070E5D">
      <w:pPr>
        <w:pStyle w:val="Blocdecitation"/>
        <w:spacing w:before="120"/>
        <w:ind w:right="0"/>
        <w:jc w:val="both"/>
        <w:rPr>
          <w:rFonts w:ascii="Bookman Old Style" w:hAnsi="Bookman Old Style" w:cs="Arial"/>
          <w:i w:val="0"/>
        </w:rPr>
      </w:pPr>
      <w:r w:rsidRPr="00395DBC">
        <w:rPr>
          <w:rFonts w:ascii="Bookman Old Style" w:hAnsi="Bookman Old Style" w:cs="Arial"/>
          <w:i w:val="0"/>
        </w:rPr>
        <w:t xml:space="preserve">Le calcul de  ce résultat se fait en intégrant l’ensemble des UE qui entrent dans la structuration des parcours de formation, </w:t>
      </w:r>
    </w:p>
    <w:p w:rsidR="00070E5D" w:rsidRPr="00395DBC" w:rsidRDefault="00070E5D" w:rsidP="00070E5D">
      <w:pPr>
        <w:pStyle w:val="Blocdecitation"/>
        <w:spacing w:after="0"/>
        <w:ind w:right="0"/>
        <w:jc w:val="both"/>
        <w:rPr>
          <w:rFonts w:ascii="Bookman Old Style" w:hAnsi="Bookman Old Style" w:cs="Arial"/>
          <w:i w:val="0"/>
        </w:rPr>
      </w:pPr>
      <w:r w:rsidRPr="00395DBC">
        <w:rPr>
          <w:rFonts w:ascii="Bookman Old Style" w:hAnsi="Bookman Old Style" w:cs="Arial"/>
          <w:i w:val="0"/>
        </w:rPr>
        <w:t xml:space="preserve">Passable si :    10 ≤ </w:t>
      </w:r>
      <w:r w:rsidRPr="00395DBC">
        <w:rPr>
          <w:rFonts w:ascii="Bookman Old Style" w:hAnsi="Bookman Old Style" w:cs="Arial"/>
        </w:rPr>
        <w:t>résultat</w:t>
      </w:r>
      <w:r w:rsidRPr="00395DBC">
        <w:rPr>
          <w:rFonts w:ascii="Bookman Old Style" w:hAnsi="Bookman Old Style" w:cs="Arial"/>
          <w:i w:val="0"/>
        </w:rPr>
        <w:t xml:space="preserve"> &lt; 12</w:t>
      </w:r>
    </w:p>
    <w:p w:rsidR="00070E5D" w:rsidRPr="00395DBC" w:rsidRDefault="00070E5D" w:rsidP="00070E5D">
      <w:pPr>
        <w:pStyle w:val="Blocdecitation"/>
        <w:spacing w:after="0"/>
        <w:ind w:right="0"/>
        <w:jc w:val="both"/>
        <w:rPr>
          <w:rFonts w:ascii="Bookman Old Style" w:hAnsi="Bookman Old Style" w:cs="Arial"/>
          <w:i w:val="0"/>
        </w:rPr>
      </w:pPr>
      <w:r w:rsidRPr="00395DBC">
        <w:rPr>
          <w:rFonts w:ascii="Bookman Old Style" w:hAnsi="Bookman Old Style" w:cs="Arial"/>
          <w:i w:val="0"/>
        </w:rPr>
        <w:t xml:space="preserve">Assez bien si : 12 ≤ </w:t>
      </w:r>
      <w:r w:rsidRPr="00395DBC">
        <w:rPr>
          <w:rFonts w:ascii="Bookman Old Style" w:hAnsi="Bookman Old Style" w:cs="Arial"/>
        </w:rPr>
        <w:t>résultat</w:t>
      </w:r>
      <w:r w:rsidRPr="00395DBC">
        <w:rPr>
          <w:rFonts w:ascii="Bookman Old Style" w:hAnsi="Bookman Old Style" w:cs="Arial"/>
          <w:i w:val="0"/>
        </w:rPr>
        <w:t xml:space="preserve"> &lt; 14 </w:t>
      </w:r>
    </w:p>
    <w:p w:rsidR="00070E5D" w:rsidRPr="00395DBC" w:rsidRDefault="00070E5D" w:rsidP="00070E5D">
      <w:pPr>
        <w:pStyle w:val="Blocdecitation"/>
        <w:spacing w:after="0"/>
        <w:ind w:right="0"/>
        <w:jc w:val="both"/>
        <w:rPr>
          <w:rFonts w:ascii="Bookman Old Style" w:hAnsi="Bookman Old Style" w:cs="Arial"/>
          <w:i w:val="0"/>
        </w:rPr>
      </w:pPr>
      <w:r w:rsidRPr="00395DBC">
        <w:rPr>
          <w:rFonts w:ascii="Bookman Old Style" w:hAnsi="Bookman Old Style" w:cs="Arial"/>
          <w:i w:val="0"/>
        </w:rPr>
        <w:t xml:space="preserve">Bien si :           14 ≤ </w:t>
      </w:r>
      <w:r w:rsidRPr="00395DBC">
        <w:rPr>
          <w:rFonts w:ascii="Bookman Old Style" w:hAnsi="Bookman Old Style" w:cs="Arial"/>
        </w:rPr>
        <w:t>résultat</w:t>
      </w:r>
      <w:r w:rsidRPr="00395DBC">
        <w:rPr>
          <w:rFonts w:ascii="Bookman Old Style" w:hAnsi="Bookman Old Style" w:cs="Arial"/>
          <w:i w:val="0"/>
        </w:rPr>
        <w:t xml:space="preserve"> &lt; 16 </w:t>
      </w:r>
    </w:p>
    <w:p w:rsidR="00070E5D" w:rsidRPr="00395DBC" w:rsidRDefault="00070E5D" w:rsidP="00070E5D">
      <w:pPr>
        <w:pStyle w:val="Blocdecitation"/>
        <w:spacing w:after="0"/>
        <w:ind w:right="0"/>
        <w:jc w:val="both"/>
        <w:rPr>
          <w:rFonts w:ascii="Bookman Old Style" w:hAnsi="Bookman Old Style" w:cs="Arial"/>
          <w:i w:val="0"/>
        </w:rPr>
      </w:pPr>
      <w:r w:rsidRPr="00395DBC">
        <w:rPr>
          <w:rFonts w:ascii="Bookman Old Style" w:hAnsi="Bookman Old Style" w:cs="Arial"/>
          <w:i w:val="0"/>
        </w:rPr>
        <w:t xml:space="preserve">Très bien si :   16 ≤ </w:t>
      </w:r>
      <w:r w:rsidRPr="00395DBC">
        <w:rPr>
          <w:rFonts w:ascii="Bookman Old Style" w:hAnsi="Bookman Old Style" w:cs="Arial"/>
        </w:rPr>
        <w:t>résultat</w:t>
      </w:r>
    </w:p>
    <w:p w:rsidR="00070E5D" w:rsidRPr="00395DBC" w:rsidRDefault="00070E5D" w:rsidP="00070E5D">
      <w:pPr>
        <w:pStyle w:val="Blocdecitation"/>
        <w:spacing w:before="120"/>
        <w:ind w:right="0"/>
        <w:jc w:val="both"/>
        <w:rPr>
          <w:rFonts w:ascii="Bookman Old Style" w:hAnsi="Bookman Old Style" w:cs="Arial"/>
          <w:i w:val="0"/>
        </w:rPr>
      </w:pPr>
    </w:p>
    <w:p w:rsidR="00070E5D" w:rsidRPr="00395DBC" w:rsidRDefault="00070E5D" w:rsidP="00070E5D">
      <w:pPr>
        <w:pStyle w:val="Corpsdetexte3"/>
        <w:spacing w:before="120"/>
        <w:jc w:val="both"/>
        <w:rPr>
          <w:rFonts w:ascii="Bookman Old Style" w:hAnsi="Bookman Old Style" w:cs="Arial"/>
          <w:sz w:val="20"/>
          <w:szCs w:val="20"/>
        </w:rPr>
      </w:pPr>
      <w:r w:rsidRPr="00395DBC">
        <w:rPr>
          <w:rFonts w:ascii="Bookman Old Style" w:hAnsi="Bookman Old Style" w:cs="Arial"/>
          <w:sz w:val="20"/>
          <w:szCs w:val="20"/>
        </w:rPr>
        <w:t>La capitalisation des unités d’enseignement en Master 2</w:t>
      </w:r>
    </w:p>
    <w:p w:rsidR="00070E5D" w:rsidRPr="00395DBC" w:rsidRDefault="00070E5D" w:rsidP="00070E5D">
      <w:pPr>
        <w:pStyle w:val="Blocdecitation"/>
        <w:tabs>
          <w:tab w:val="left" w:pos="9072"/>
        </w:tabs>
        <w:spacing w:before="120"/>
        <w:ind w:right="0"/>
        <w:jc w:val="both"/>
        <w:rPr>
          <w:rFonts w:ascii="Bookman Old Style" w:hAnsi="Bookman Old Style" w:cs="Arial"/>
          <w:sz w:val="24"/>
          <w:szCs w:val="24"/>
        </w:rPr>
      </w:pPr>
      <w:r w:rsidRPr="00395DBC">
        <w:rPr>
          <w:rFonts w:ascii="Bookman Old Style" w:hAnsi="Bookman Old Style" w:cs="Arial"/>
          <w:b/>
          <w:i w:val="0"/>
        </w:rPr>
        <w:lastRenderedPageBreak/>
        <w:t>Disposition n°28 :</w:t>
      </w:r>
      <w:r w:rsidRPr="00395DBC">
        <w:rPr>
          <w:rFonts w:ascii="Bookman Old Style" w:hAnsi="Bookman Old Style" w:cs="Arial"/>
          <w:i w:val="0"/>
        </w:rPr>
        <w:t xml:space="preserve"> Une unité d’enseignement est acquise et capitalisée dès lors que l’étudiant est déclaré </w:t>
      </w:r>
      <w:r w:rsidRPr="00395DBC">
        <w:rPr>
          <w:rFonts w:ascii="Bookman Old Style" w:hAnsi="Bookman Old Style" w:cs="Arial"/>
          <w:bCs/>
          <w:iCs/>
        </w:rPr>
        <w:t>admis</w:t>
      </w:r>
      <w:r w:rsidRPr="00395DBC">
        <w:rPr>
          <w:rFonts w:ascii="Bookman Old Style" w:hAnsi="Bookman Old Style" w:cs="Arial"/>
          <w:i w:val="0"/>
        </w:rPr>
        <w:t xml:space="preserve"> ou </w:t>
      </w:r>
      <w:r w:rsidRPr="00395DBC">
        <w:rPr>
          <w:rFonts w:ascii="Bookman Old Style" w:hAnsi="Bookman Old Style" w:cs="Arial"/>
          <w:iCs/>
        </w:rPr>
        <w:t>admis</w:t>
      </w:r>
      <w:r w:rsidRPr="00395DBC">
        <w:rPr>
          <w:rFonts w:ascii="Bookman Old Style" w:hAnsi="Bookman Old Style" w:cs="Arial"/>
          <w:i w:val="0"/>
        </w:rPr>
        <w:t xml:space="preserve"> </w:t>
      </w:r>
      <w:r w:rsidRPr="00395DBC">
        <w:rPr>
          <w:rFonts w:ascii="Bookman Old Style" w:hAnsi="Bookman Old Style" w:cs="Arial"/>
          <w:iCs/>
        </w:rPr>
        <w:t>par</w:t>
      </w:r>
      <w:r w:rsidRPr="00395DBC">
        <w:rPr>
          <w:rFonts w:ascii="Bookman Old Style" w:hAnsi="Bookman Old Style" w:cs="Arial"/>
          <w:i w:val="0"/>
        </w:rPr>
        <w:t xml:space="preserve"> </w:t>
      </w:r>
      <w:r w:rsidRPr="00395DBC">
        <w:rPr>
          <w:rFonts w:ascii="Bookman Old Style" w:hAnsi="Bookman Old Style" w:cs="Arial"/>
          <w:iCs/>
        </w:rPr>
        <w:t>compensation</w:t>
      </w:r>
      <w:r w:rsidRPr="00395DBC">
        <w:rPr>
          <w:rFonts w:ascii="Bookman Old Style" w:hAnsi="Bookman Old Style" w:cs="Arial"/>
          <w:i w:val="0"/>
        </w:rPr>
        <w:t xml:space="preserve"> à celle-ci.</w:t>
      </w:r>
    </w:p>
    <w:p w:rsidR="00070E5D" w:rsidRPr="00395DBC" w:rsidRDefault="00070E5D" w:rsidP="00070E5D">
      <w:pPr>
        <w:pStyle w:val="Blocdecitation"/>
        <w:tabs>
          <w:tab w:val="left" w:pos="9072"/>
        </w:tabs>
        <w:spacing w:before="120"/>
        <w:ind w:right="0"/>
        <w:jc w:val="both"/>
        <w:rPr>
          <w:rFonts w:ascii="Bookman Old Style" w:hAnsi="Bookman Old Style" w:cs="Arial"/>
          <w:i w:val="0"/>
        </w:rPr>
      </w:pPr>
      <w:r w:rsidRPr="00395DBC">
        <w:rPr>
          <w:rFonts w:ascii="Bookman Old Style" w:hAnsi="Bookman Old Style" w:cs="Arial"/>
          <w:b/>
          <w:i w:val="0"/>
        </w:rPr>
        <w:t>Disposition n°29 :</w:t>
      </w:r>
      <w:r w:rsidRPr="00395DBC">
        <w:rPr>
          <w:rFonts w:ascii="Bookman Old Style" w:hAnsi="Bookman Old Style" w:cs="Arial"/>
          <w:i w:val="0"/>
        </w:rPr>
        <w:t xml:space="preserve"> Les éléments constitutifs des unités d’enseignement non acquises sont capitalisables dès lors que l’évaluation des étudiants est organisée au niveau de chaque EC et que la note obtenue à l’EC est supérieure ou égale à 10.</w:t>
      </w:r>
    </w:p>
    <w:p w:rsidR="00070E5D" w:rsidRPr="00395DBC" w:rsidRDefault="00070E5D" w:rsidP="00070E5D">
      <w:pPr>
        <w:pStyle w:val="Titre3"/>
        <w:numPr>
          <w:ilvl w:val="0"/>
          <w:numId w:val="36"/>
        </w:numPr>
        <w:tabs>
          <w:tab w:val="left" w:leader="dot" w:pos="4820"/>
          <w:tab w:val="left" w:leader="dot" w:pos="8505"/>
        </w:tabs>
        <w:spacing w:before="240" w:after="60" w:line="240" w:lineRule="auto"/>
        <w:ind w:right="0"/>
        <w:rPr>
          <w:rFonts w:ascii="Bookman Old Style" w:hAnsi="Bookman Old Style"/>
        </w:rPr>
      </w:pPr>
      <w:r w:rsidRPr="00395DBC">
        <w:rPr>
          <w:rFonts w:ascii="Bookman Old Style" w:hAnsi="Bookman Old Style"/>
        </w:rPr>
        <w:t>Règles relatives aux enseignements de langue vivante étrangère en Master</w:t>
      </w:r>
    </w:p>
    <w:p w:rsidR="00070E5D" w:rsidRPr="00395DBC" w:rsidRDefault="00070E5D" w:rsidP="00070E5D">
      <w:pPr>
        <w:pStyle w:val="Blocdecitation"/>
        <w:spacing w:before="120"/>
        <w:ind w:right="0"/>
        <w:jc w:val="both"/>
        <w:rPr>
          <w:rFonts w:ascii="Bookman Old Style" w:hAnsi="Bookman Old Style" w:cs="Arial"/>
          <w:i w:val="0"/>
          <w:strike/>
        </w:rPr>
      </w:pPr>
      <w:r w:rsidRPr="00395DBC">
        <w:rPr>
          <w:rFonts w:ascii="Bookman Old Style" w:hAnsi="Bookman Old Style"/>
          <w:b/>
          <w:i w:val="0"/>
          <w:spacing w:val="2"/>
        </w:rPr>
        <w:t>Disposition 30 :</w:t>
      </w:r>
      <w:r w:rsidRPr="00395DBC">
        <w:rPr>
          <w:rFonts w:ascii="Bookman Old Style" w:hAnsi="Bookman Old Style"/>
          <w:i w:val="0"/>
          <w:spacing w:val="2"/>
        </w:rPr>
        <w:t xml:space="preserve"> L</w:t>
      </w:r>
      <w:r w:rsidRPr="00395DBC">
        <w:rPr>
          <w:rFonts w:ascii="Bookman Old Style" w:hAnsi="Bookman Old Style"/>
          <w:i w:val="0"/>
        </w:rPr>
        <w:t>e</w:t>
      </w:r>
      <w:r w:rsidRPr="00395DBC">
        <w:rPr>
          <w:rFonts w:ascii="Bookman Old Style" w:hAnsi="Bookman Old Style"/>
          <w:i w:val="0"/>
          <w:spacing w:val="11"/>
        </w:rPr>
        <w:t xml:space="preserve"> </w:t>
      </w:r>
      <w:r w:rsidRPr="00395DBC">
        <w:rPr>
          <w:rFonts w:ascii="Bookman Old Style" w:hAnsi="Bookman Old Style"/>
          <w:i w:val="0"/>
        </w:rPr>
        <w:t>diplôme</w:t>
      </w:r>
      <w:r w:rsidRPr="00395DBC">
        <w:rPr>
          <w:rFonts w:ascii="Bookman Old Style" w:hAnsi="Bookman Old Style"/>
          <w:i w:val="0"/>
          <w:spacing w:val="11"/>
        </w:rPr>
        <w:t xml:space="preserve"> </w:t>
      </w:r>
      <w:r w:rsidRPr="00395DBC">
        <w:rPr>
          <w:rFonts w:ascii="Bookman Old Style" w:hAnsi="Bookman Old Style"/>
          <w:i w:val="0"/>
        </w:rPr>
        <w:t>ne</w:t>
      </w:r>
      <w:r w:rsidRPr="00395DBC">
        <w:rPr>
          <w:rFonts w:ascii="Bookman Old Style" w:hAnsi="Bookman Old Style"/>
          <w:i w:val="0"/>
          <w:spacing w:val="11"/>
        </w:rPr>
        <w:t xml:space="preserve"> </w:t>
      </w:r>
      <w:r w:rsidRPr="00395DBC">
        <w:rPr>
          <w:rFonts w:ascii="Bookman Old Style" w:hAnsi="Bookman Old Style"/>
          <w:i w:val="0"/>
        </w:rPr>
        <w:t>p</w:t>
      </w:r>
      <w:r w:rsidRPr="00395DBC">
        <w:rPr>
          <w:rFonts w:ascii="Bookman Old Style" w:hAnsi="Bookman Old Style"/>
          <w:i w:val="0"/>
          <w:spacing w:val="-1"/>
        </w:rPr>
        <w:t>e</w:t>
      </w:r>
      <w:r w:rsidRPr="00395DBC">
        <w:rPr>
          <w:rFonts w:ascii="Bookman Old Style" w:hAnsi="Bookman Old Style"/>
          <w:i w:val="0"/>
        </w:rPr>
        <w:t>ut</w:t>
      </w:r>
      <w:r w:rsidRPr="00395DBC">
        <w:rPr>
          <w:rFonts w:ascii="Bookman Old Style" w:hAnsi="Bookman Old Style"/>
          <w:i w:val="0"/>
          <w:spacing w:val="12"/>
        </w:rPr>
        <w:t xml:space="preserve"> </w:t>
      </w:r>
      <w:r w:rsidRPr="00395DBC">
        <w:rPr>
          <w:rFonts w:ascii="Bookman Old Style" w:hAnsi="Bookman Old Style"/>
          <w:i w:val="0"/>
          <w:spacing w:val="-1"/>
        </w:rPr>
        <w:t>ê</w:t>
      </w:r>
      <w:r w:rsidRPr="00395DBC">
        <w:rPr>
          <w:rFonts w:ascii="Bookman Old Style" w:hAnsi="Bookman Old Style"/>
          <w:i w:val="0"/>
        </w:rPr>
        <w:t>t</w:t>
      </w:r>
      <w:r w:rsidRPr="00395DBC">
        <w:rPr>
          <w:rFonts w:ascii="Bookman Old Style" w:hAnsi="Bookman Old Style"/>
          <w:i w:val="0"/>
          <w:spacing w:val="2"/>
        </w:rPr>
        <w:t>r</w:t>
      </w:r>
      <w:r w:rsidRPr="00395DBC">
        <w:rPr>
          <w:rFonts w:ascii="Bookman Old Style" w:hAnsi="Bookman Old Style"/>
          <w:i w:val="0"/>
        </w:rPr>
        <w:t>e</w:t>
      </w:r>
      <w:r w:rsidRPr="00395DBC">
        <w:rPr>
          <w:rFonts w:ascii="Bookman Old Style" w:hAnsi="Bookman Old Style"/>
          <w:i w:val="0"/>
          <w:spacing w:val="11"/>
        </w:rPr>
        <w:t xml:space="preserve"> </w:t>
      </w:r>
      <w:r w:rsidRPr="00395DBC">
        <w:rPr>
          <w:rFonts w:ascii="Bookman Old Style" w:hAnsi="Bookman Old Style"/>
          <w:i w:val="0"/>
        </w:rPr>
        <w:t>d</w:t>
      </w:r>
      <w:r w:rsidRPr="00395DBC">
        <w:rPr>
          <w:rFonts w:ascii="Bookman Old Style" w:hAnsi="Bookman Old Style"/>
          <w:i w:val="0"/>
          <w:spacing w:val="-1"/>
        </w:rPr>
        <w:t>é</w:t>
      </w:r>
      <w:r w:rsidRPr="00395DBC">
        <w:rPr>
          <w:rFonts w:ascii="Bookman Old Style" w:hAnsi="Bookman Old Style"/>
          <w:i w:val="0"/>
        </w:rPr>
        <w:t>liv</w:t>
      </w:r>
      <w:r w:rsidRPr="00395DBC">
        <w:rPr>
          <w:rFonts w:ascii="Bookman Old Style" w:hAnsi="Bookman Old Style"/>
          <w:i w:val="0"/>
          <w:spacing w:val="2"/>
        </w:rPr>
        <w:t>r</w:t>
      </w:r>
      <w:r w:rsidRPr="00395DBC">
        <w:rPr>
          <w:rFonts w:ascii="Bookman Old Style" w:hAnsi="Bookman Old Style"/>
          <w:i w:val="0"/>
        </w:rPr>
        <w:t>é</w:t>
      </w:r>
      <w:r w:rsidRPr="00395DBC">
        <w:rPr>
          <w:rFonts w:ascii="Bookman Old Style" w:hAnsi="Bookman Old Style"/>
          <w:i w:val="0"/>
          <w:spacing w:val="11"/>
        </w:rPr>
        <w:t xml:space="preserve"> </w:t>
      </w:r>
      <w:r w:rsidRPr="00395DBC">
        <w:rPr>
          <w:rFonts w:ascii="Bookman Old Style" w:hAnsi="Bookman Old Style"/>
          <w:i w:val="0"/>
        </w:rPr>
        <w:t>qu</w:t>
      </w:r>
      <w:r w:rsidRPr="00395DBC">
        <w:rPr>
          <w:rFonts w:ascii="Bookman Old Style" w:hAnsi="Bookman Old Style"/>
          <w:i w:val="0"/>
          <w:spacing w:val="2"/>
        </w:rPr>
        <w:t>’</w:t>
      </w:r>
      <w:r w:rsidRPr="00395DBC">
        <w:rPr>
          <w:rFonts w:ascii="Bookman Old Style" w:hAnsi="Bookman Old Style"/>
          <w:i w:val="0"/>
          <w:spacing w:val="-1"/>
        </w:rPr>
        <w:t>a</w:t>
      </w:r>
      <w:r w:rsidRPr="00395DBC">
        <w:rPr>
          <w:rFonts w:ascii="Bookman Old Style" w:hAnsi="Bookman Old Style"/>
          <w:i w:val="0"/>
        </w:rPr>
        <w:t>p</w:t>
      </w:r>
      <w:r w:rsidRPr="00395DBC">
        <w:rPr>
          <w:rFonts w:ascii="Bookman Old Style" w:hAnsi="Bookman Old Style"/>
          <w:i w:val="0"/>
          <w:spacing w:val="2"/>
        </w:rPr>
        <w:t>r</w:t>
      </w:r>
      <w:r w:rsidRPr="00395DBC">
        <w:rPr>
          <w:rFonts w:ascii="Bookman Old Style" w:hAnsi="Bookman Old Style"/>
          <w:i w:val="0"/>
          <w:spacing w:val="-1"/>
        </w:rPr>
        <w:t>è</w:t>
      </w:r>
      <w:r w:rsidRPr="00395DBC">
        <w:rPr>
          <w:rFonts w:ascii="Bookman Old Style" w:hAnsi="Bookman Old Style"/>
          <w:i w:val="0"/>
        </w:rPr>
        <w:t>s</w:t>
      </w:r>
      <w:r w:rsidRPr="00395DBC">
        <w:rPr>
          <w:rFonts w:ascii="Bookman Old Style" w:hAnsi="Bookman Old Style"/>
          <w:i w:val="0"/>
          <w:spacing w:val="10"/>
        </w:rPr>
        <w:t xml:space="preserve"> </w:t>
      </w:r>
      <w:r w:rsidRPr="00395DBC">
        <w:rPr>
          <w:rFonts w:ascii="Bookman Old Style" w:hAnsi="Bookman Old Style"/>
          <w:i w:val="0"/>
        </w:rPr>
        <w:t>v</w:t>
      </w:r>
      <w:r w:rsidRPr="00395DBC">
        <w:rPr>
          <w:rFonts w:ascii="Bookman Old Style" w:hAnsi="Bookman Old Style"/>
          <w:i w:val="0"/>
          <w:spacing w:val="-1"/>
        </w:rPr>
        <w:t>a</w:t>
      </w:r>
      <w:r w:rsidRPr="00395DBC">
        <w:rPr>
          <w:rFonts w:ascii="Bookman Old Style" w:hAnsi="Bookman Old Style"/>
          <w:i w:val="0"/>
        </w:rPr>
        <w:t>lid</w:t>
      </w:r>
      <w:r w:rsidRPr="00395DBC">
        <w:rPr>
          <w:rFonts w:ascii="Bookman Old Style" w:hAnsi="Bookman Old Style"/>
          <w:i w:val="0"/>
          <w:spacing w:val="-1"/>
        </w:rPr>
        <w:t>a</w:t>
      </w:r>
      <w:r w:rsidRPr="00395DBC">
        <w:rPr>
          <w:rFonts w:ascii="Bookman Old Style" w:hAnsi="Bookman Old Style"/>
          <w:i w:val="0"/>
        </w:rPr>
        <w:t>ti</w:t>
      </w:r>
      <w:r w:rsidRPr="00395DBC">
        <w:rPr>
          <w:rFonts w:ascii="Bookman Old Style" w:hAnsi="Bookman Old Style"/>
          <w:i w:val="0"/>
          <w:spacing w:val="-5"/>
        </w:rPr>
        <w:t>o</w:t>
      </w:r>
      <w:r w:rsidRPr="00395DBC">
        <w:rPr>
          <w:rFonts w:ascii="Bookman Old Style" w:hAnsi="Bookman Old Style"/>
          <w:i w:val="0"/>
        </w:rPr>
        <w:t>n</w:t>
      </w:r>
      <w:r w:rsidRPr="00395DBC">
        <w:rPr>
          <w:rFonts w:ascii="Bookman Old Style" w:hAnsi="Bookman Old Style"/>
          <w:i w:val="0"/>
          <w:spacing w:val="12"/>
        </w:rPr>
        <w:t xml:space="preserve"> </w:t>
      </w:r>
      <w:r w:rsidRPr="00395DBC">
        <w:rPr>
          <w:rFonts w:ascii="Bookman Old Style" w:hAnsi="Bookman Old Style"/>
          <w:i w:val="0"/>
        </w:rPr>
        <w:t>de</w:t>
      </w:r>
      <w:r w:rsidRPr="00395DBC">
        <w:rPr>
          <w:rFonts w:ascii="Bookman Old Style" w:hAnsi="Bookman Old Style"/>
          <w:i w:val="0"/>
          <w:spacing w:val="11"/>
        </w:rPr>
        <w:t xml:space="preserve"> </w:t>
      </w:r>
      <w:r w:rsidRPr="00395DBC">
        <w:rPr>
          <w:rFonts w:ascii="Bookman Old Style" w:hAnsi="Bookman Old Style"/>
          <w:i w:val="0"/>
        </w:rPr>
        <w:t>l</w:t>
      </w:r>
      <w:r w:rsidRPr="00395DBC">
        <w:rPr>
          <w:rFonts w:ascii="Bookman Old Style" w:hAnsi="Bookman Old Style"/>
          <w:i w:val="0"/>
          <w:spacing w:val="2"/>
        </w:rPr>
        <w:t>’</w:t>
      </w:r>
      <w:r w:rsidRPr="00395DBC">
        <w:rPr>
          <w:rFonts w:ascii="Bookman Old Style" w:hAnsi="Bookman Old Style"/>
          <w:i w:val="0"/>
          <w:spacing w:val="-1"/>
        </w:rPr>
        <w:t>a</w:t>
      </w:r>
      <w:r w:rsidRPr="00395DBC">
        <w:rPr>
          <w:rFonts w:ascii="Bookman Old Style" w:hAnsi="Bookman Old Style"/>
          <w:i w:val="0"/>
        </w:rPr>
        <w:t>ptitude</w:t>
      </w:r>
      <w:r w:rsidRPr="00395DBC">
        <w:rPr>
          <w:rFonts w:ascii="Bookman Old Style" w:hAnsi="Bookman Old Style"/>
          <w:i w:val="0"/>
          <w:spacing w:val="11"/>
        </w:rPr>
        <w:t xml:space="preserve"> </w:t>
      </w:r>
      <w:r w:rsidRPr="00395DBC">
        <w:rPr>
          <w:rFonts w:ascii="Bookman Old Style" w:hAnsi="Bookman Old Style"/>
          <w:i w:val="0"/>
        </w:rPr>
        <w:t>à</w:t>
      </w:r>
      <w:r w:rsidRPr="00395DBC">
        <w:rPr>
          <w:rFonts w:ascii="Bookman Old Style" w:hAnsi="Bookman Old Style"/>
          <w:i w:val="0"/>
          <w:spacing w:val="11"/>
        </w:rPr>
        <w:t xml:space="preserve"> </w:t>
      </w:r>
      <w:r w:rsidRPr="00395DBC">
        <w:rPr>
          <w:rFonts w:ascii="Bookman Old Style" w:hAnsi="Bookman Old Style"/>
          <w:i w:val="0"/>
        </w:rPr>
        <w:t>m</w:t>
      </w:r>
      <w:r w:rsidRPr="00395DBC">
        <w:rPr>
          <w:rFonts w:ascii="Bookman Old Style" w:hAnsi="Bookman Old Style"/>
          <w:i w:val="0"/>
          <w:spacing w:val="-1"/>
        </w:rPr>
        <w:t>a</w:t>
      </w:r>
      <w:r w:rsidRPr="00395DBC">
        <w:rPr>
          <w:rFonts w:ascii="Bookman Old Style" w:hAnsi="Bookman Old Style"/>
          <w:i w:val="0"/>
        </w:rPr>
        <w:t>ît</w:t>
      </w:r>
      <w:r w:rsidRPr="00395DBC">
        <w:rPr>
          <w:rFonts w:ascii="Bookman Old Style" w:hAnsi="Bookman Old Style"/>
          <w:i w:val="0"/>
          <w:spacing w:val="2"/>
        </w:rPr>
        <w:t>r</w:t>
      </w:r>
      <w:r w:rsidRPr="00395DBC">
        <w:rPr>
          <w:rFonts w:ascii="Bookman Old Style" w:hAnsi="Bookman Old Style"/>
          <w:i w:val="0"/>
        </w:rPr>
        <w:t>i</w:t>
      </w:r>
      <w:r w:rsidRPr="00395DBC">
        <w:rPr>
          <w:rFonts w:ascii="Bookman Old Style" w:hAnsi="Bookman Old Style"/>
          <w:i w:val="0"/>
          <w:spacing w:val="-2"/>
        </w:rPr>
        <w:t>s</w:t>
      </w:r>
      <w:r w:rsidRPr="00395DBC">
        <w:rPr>
          <w:rFonts w:ascii="Bookman Old Style" w:hAnsi="Bookman Old Style"/>
          <w:i w:val="0"/>
          <w:spacing w:val="-1"/>
        </w:rPr>
        <w:t>e</w:t>
      </w:r>
      <w:r w:rsidRPr="00395DBC">
        <w:rPr>
          <w:rFonts w:ascii="Bookman Old Style" w:hAnsi="Bookman Old Style"/>
          <w:i w:val="0"/>
        </w:rPr>
        <w:t>r</w:t>
      </w:r>
      <w:r w:rsidRPr="00395DBC">
        <w:rPr>
          <w:rFonts w:ascii="Bookman Old Style" w:hAnsi="Bookman Old Style"/>
          <w:i w:val="0"/>
          <w:spacing w:val="14"/>
        </w:rPr>
        <w:t xml:space="preserve"> </w:t>
      </w:r>
      <w:r w:rsidRPr="00395DBC">
        <w:rPr>
          <w:rFonts w:ascii="Bookman Old Style" w:hAnsi="Bookman Old Style"/>
          <w:i w:val="0"/>
        </w:rPr>
        <w:t>une</w:t>
      </w:r>
      <w:r w:rsidRPr="00395DBC">
        <w:rPr>
          <w:rFonts w:ascii="Bookman Old Style" w:hAnsi="Bookman Old Style"/>
          <w:i w:val="0"/>
          <w:spacing w:val="11"/>
        </w:rPr>
        <w:t xml:space="preserve"> </w:t>
      </w:r>
      <w:r w:rsidRPr="00395DBC">
        <w:rPr>
          <w:rFonts w:ascii="Bookman Old Style" w:hAnsi="Bookman Old Style"/>
          <w:i w:val="0"/>
        </w:rPr>
        <w:t>l</w:t>
      </w:r>
      <w:r w:rsidRPr="00395DBC">
        <w:rPr>
          <w:rFonts w:ascii="Bookman Old Style" w:hAnsi="Bookman Old Style"/>
          <w:i w:val="0"/>
          <w:spacing w:val="-1"/>
        </w:rPr>
        <w:t>a</w:t>
      </w:r>
      <w:r w:rsidRPr="00395DBC">
        <w:rPr>
          <w:rFonts w:ascii="Bookman Old Style" w:hAnsi="Bookman Old Style"/>
          <w:i w:val="0"/>
        </w:rPr>
        <w:t>ngue</w:t>
      </w:r>
      <w:r w:rsidRPr="00395DBC">
        <w:rPr>
          <w:rFonts w:ascii="Bookman Old Style" w:hAnsi="Bookman Old Style"/>
          <w:i w:val="0"/>
          <w:spacing w:val="11"/>
        </w:rPr>
        <w:t xml:space="preserve"> </w:t>
      </w:r>
      <w:r w:rsidRPr="00395DBC">
        <w:rPr>
          <w:rFonts w:ascii="Bookman Old Style" w:hAnsi="Bookman Old Style"/>
          <w:i w:val="0"/>
          <w:spacing w:val="-1"/>
        </w:rPr>
        <w:t>é</w:t>
      </w:r>
      <w:r w:rsidRPr="00395DBC">
        <w:rPr>
          <w:rFonts w:ascii="Bookman Old Style" w:hAnsi="Bookman Old Style"/>
          <w:i w:val="0"/>
        </w:rPr>
        <w:t>t</w:t>
      </w:r>
      <w:r w:rsidRPr="00395DBC">
        <w:rPr>
          <w:rFonts w:ascii="Bookman Old Style" w:hAnsi="Bookman Old Style"/>
          <w:i w:val="0"/>
          <w:spacing w:val="2"/>
        </w:rPr>
        <w:t>r</w:t>
      </w:r>
      <w:r w:rsidRPr="00395DBC">
        <w:rPr>
          <w:rFonts w:ascii="Bookman Old Style" w:hAnsi="Bookman Old Style"/>
          <w:i w:val="0"/>
          <w:spacing w:val="-1"/>
        </w:rPr>
        <w:t>a</w:t>
      </w:r>
      <w:r w:rsidRPr="00395DBC">
        <w:rPr>
          <w:rFonts w:ascii="Bookman Old Style" w:hAnsi="Bookman Old Style"/>
          <w:i w:val="0"/>
        </w:rPr>
        <w:t>ng</w:t>
      </w:r>
      <w:r w:rsidRPr="00395DBC">
        <w:rPr>
          <w:rFonts w:ascii="Bookman Old Style" w:hAnsi="Bookman Old Style"/>
          <w:i w:val="0"/>
          <w:spacing w:val="-1"/>
        </w:rPr>
        <w:t>è</w:t>
      </w:r>
      <w:r w:rsidRPr="00395DBC">
        <w:rPr>
          <w:rFonts w:ascii="Bookman Old Style" w:hAnsi="Bookman Old Style"/>
          <w:i w:val="0"/>
          <w:spacing w:val="2"/>
        </w:rPr>
        <w:t>r</w:t>
      </w:r>
      <w:r w:rsidRPr="00395DBC">
        <w:rPr>
          <w:rFonts w:ascii="Bookman Old Style" w:hAnsi="Bookman Old Style"/>
          <w:i w:val="0"/>
          <w:spacing w:val="-1"/>
        </w:rPr>
        <w:t>e</w:t>
      </w:r>
      <w:r w:rsidRPr="00395DBC">
        <w:rPr>
          <w:rFonts w:ascii="Bookman Old Style" w:hAnsi="Bookman Old Style"/>
          <w:i w:val="0"/>
        </w:rPr>
        <w:t>, d</w:t>
      </w:r>
      <w:r w:rsidRPr="00395DBC">
        <w:rPr>
          <w:rFonts w:ascii="Bookman Old Style" w:hAnsi="Bookman Old Style"/>
          <w:i w:val="0"/>
          <w:spacing w:val="-1"/>
        </w:rPr>
        <w:t>a</w:t>
      </w:r>
      <w:r w:rsidRPr="00395DBC">
        <w:rPr>
          <w:rFonts w:ascii="Bookman Old Style" w:hAnsi="Bookman Old Style"/>
          <w:i w:val="0"/>
        </w:rPr>
        <w:t>ns l</w:t>
      </w:r>
      <w:r w:rsidRPr="00395DBC">
        <w:rPr>
          <w:rFonts w:ascii="Bookman Old Style" w:hAnsi="Bookman Old Style"/>
          <w:i w:val="0"/>
          <w:spacing w:val="-1"/>
        </w:rPr>
        <w:t>e</w:t>
      </w:r>
      <w:r w:rsidRPr="00395DBC">
        <w:rPr>
          <w:rFonts w:ascii="Bookman Old Style" w:hAnsi="Bookman Old Style"/>
          <w:i w:val="0"/>
        </w:rPr>
        <w:t xml:space="preserve">s </w:t>
      </w:r>
      <w:r w:rsidRPr="00395DBC">
        <w:rPr>
          <w:rFonts w:ascii="Bookman Old Style" w:hAnsi="Bookman Old Style"/>
          <w:i w:val="0"/>
          <w:spacing w:val="-1"/>
        </w:rPr>
        <w:t>c</w:t>
      </w:r>
      <w:r w:rsidRPr="00395DBC">
        <w:rPr>
          <w:rFonts w:ascii="Bookman Old Style" w:hAnsi="Bookman Old Style"/>
          <w:i w:val="0"/>
        </w:rPr>
        <w:t xml:space="preserve">onditions </w:t>
      </w:r>
      <w:r w:rsidRPr="00395DBC">
        <w:rPr>
          <w:rFonts w:ascii="Bookman Old Style" w:hAnsi="Bookman Old Style"/>
          <w:i w:val="0"/>
          <w:spacing w:val="2"/>
        </w:rPr>
        <w:t>f</w:t>
      </w:r>
      <w:r w:rsidRPr="00395DBC">
        <w:rPr>
          <w:rFonts w:ascii="Bookman Old Style" w:hAnsi="Bookman Old Style"/>
          <w:i w:val="0"/>
        </w:rPr>
        <w:t>ix</w:t>
      </w:r>
      <w:r w:rsidRPr="00395DBC">
        <w:rPr>
          <w:rFonts w:ascii="Bookman Old Style" w:hAnsi="Bookman Old Style"/>
          <w:i w:val="0"/>
          <w:spacing w:val="-1"/>
        </w:rPr>
        <w:t>ée</w:t>
      </w:r>
      <w:r w:rsidRPr="00395DBC">
        <w:rPr>
          <w:rFonts w:ascii="Bookman Old Style" w:hAnsi="Bookman Old Style"/>
          <w:i w:val="0"/>
        </w:rPr>
        <w:t>s d</w:t>
      </w:r>
      <w:r w:rsidRPr="00395DBC">
        <w:rPr>
          <w:rFonts w:ascii="Bookman Old Style" w:hAnsi="Bookman Old Style"/>
          <w:i w:val="0"/>
          <w:spacing w:val="-1"/>
        </w:rPr>
        <w:t>a</w:t>
      </w:r>
      <w:r w:rsidRPr="00395DBC">
        <w:rPr>
          <w:rFonts w:ascii="Bookman Old Style" w:hAnsi="Bookman Old Style"/>
          <w:i w:val="0"/>
        </w:rPr>
        <w:t>ns la</w:t>
      </w:r>
      <w:r w:rsidRPr="00395DBC">
        <w:rPr>
          <w:rFonts w:ascii="Bookman Old Style" w:hAnsi="Bookman Old Style"/>
          <w:i w:val="0"/>
          <w:spacing w:val="1"/>
        </w:rPr>
        <w:t xml:space="preserve"> </w:t>
      </w:r>
      <w:r w:rsidRPr="00395DBC">
        <w:rPr>
          <w:rFonts w:ascii="Bookman Old Style" w:hAnsi="Bookman Old Style"/>
          <w:i w:val="0"/>
        </w:rPr>
        <w:t>m</w:t>
      </w:r>
      <w:r w:rsidRPr="00395DBC">
        <w:rPr>
          <w:rFonts w:ascii="Bookman Old Style" w:hAnsi="Bookman Old Style"/>
          <w:i w:val="0"/>
          <w:spacing w:val="-1"/>
        </w:rPr>
        <w:t>a</w:t>
      </w:r>
      <w:r w:rsidRPr="00395DBC">
        <w:rPr>
          <w:rFonts w:ascii="Bookman Old Style" w:hAnsi="Bookman Old Style"/>
          <w:i w:val="0"/>
        </w:rPr>
        <w:t>qu</w:t>
      </w:r>
      <w:r w:rsidRPr="00395DBC">
        <w:rPr>
          <w:rFonts w:ascii="Bookman Old Style" w:hAnsi="Bookman Old Style"/>
          <w:i w:val="0"/>
          <w:spacing w:val="-1"/>
        </w:rPr>
        <w:t>e</w:t>
      </w:r>
      <w:r w:rsidRPr="00395DBC">
        <w:rPr>
          <w:rFonts w:ascii="Bookman Old Style" w:hAnsi="Bookman Old Style"/>
          <w:i w:val="0"/>
        </w:rPr>
        <w:t>tte</w:t>
      </w:r>
      <w:r w:rsidRPr="00395DBC">
        <w:rPr>
          <w:rFonts w:ascii="Bookman Old Style" w:hAnsi="Bookman Old Style"/>
          <w:i w:val="0"/>
          <w:spacing w:val="1"/>
        </w:rPr>
        <w:t xml:space="preserve"> </w:t>
      </w:r>
      <w:r w:rsidRPr="00395DBC">
        <w:rPr>
          <w:rFonts w:ascii="Bookman Old Style" w:hAnsi="Bookman Old Style"/>
          <w:i w:val="0"/>
        </w:rPr>
        <w:t>du</w:t>
      </w:r>
      <w:r w:rsidRPr="00395DBC">
        <w:rPr>
          <w:rFonts w:ascii="Bookman Old Style" w:hAnsi="Bookman Old Style"/>
          <w:i w:val="0"/>
          <w:spacing w:val="2"/>
        </w:rPr>
        <w:t xml:space="preserve"> </w:t>
      </w:r>
      <w:r w:rsidRPr="00395DBC">
        <w:rPr>
          <w:rFonts w:ascii="Bookman Old Style" w:hAnsi="Bookman Old Style"/>
          <w:i w:val="0"/>
        </w:rPr>
        <w:t>dip</w:t>
      </w:r>
      <w:r w:rsidRPr="00395DBC">
        <w:rPr>
          <w:rFonts w:ascii="Bookman Old Style" w:hAnsi="Bookman Old Style"/>
          <w:i w:val="0"/>
          <w:spacing w:val="-4"/>
        </w:rPr>
        <w:t>l</w:t>
      </w:r>
      <w:r w:rsidRPr="00395DBC">
        <w:rPr>
          <w:rFonts w:ascii="Bookman Old Style" w:hAnsi="Bookman Old Style"/>
          <w:i w:val="0"/>
        </w:rPr>
        <w:t>ôm</w:t>
      </w:r>
      <w:r w:rsidRPr="00395DBC">
        <w:rPr>
          <w:rFonts w:ascii="Bookman Old Style" w:hAnsi="Bookman Old Style"/>
          <w:i w:val="0"/>
          <w:spacing w:val="-1"/>
        </w:rPr>
        <w:t>e</w:t>
      </w:r>
      <w:r w:rsidRPr="00395DBC">
        <w:rPr>
          <w:rFonts w:ascii="Bookman Old Style" w:hAnsi="Bookman Old Style"/>
          <w:i w:val="0"/>
        </w:rPr>
        <w:t>.</w:t>
      </w:r>
    </w:p>
    <w:p w:rsidR="00070E5D" w:rsidRPr="00395DBC" w:rsidRDefault="00070E5D" w:rsidP="00070E5D">
      <w:pPr>
        <w:pStyle w:val="Titre1"/>
        <w:jc w:val="both"/>
        <w:rPr>
          <w:rFonts w:ascii="Bookman Old Style" w:hAnsi="Bookman Old Style"/>
          <w:bCs w:val="0"/>
        </w:rPr>
      </w:pPr>
      <w:r w:rsidRPr="00395DBC">
        <w:rPr>
          <w:rFonts w:ascii="Bookman Old Style" w:hAnsi="Bookman Old Style" w:cs="Times New Roman"/>
        </w:rPr>
        <w:t>10. Charte des Examens</w:t>
      </w:r>
      <w:bookmarkEnd w:id="2"/>
    </w:p>
    <w:p w:rsidR="00070E5D" w:rsidRPr="00395DBC" w:rsidRDefault="00070E5D" w:rsidP="00070E5D">
      <w:pPr>
        <w:spacing w:line="240" w:lineRule="auto"/>
        <w:jc w:val="both"/>
        <w:rPr>
          <w:rFonts w:ascii="Bookman Old Style" w:hAnsi="Bookman Old Style"/>
          <w:b/>
        </w:rPr>
      </w:pPr>
      <w:r w:rsidRPr="00395DBC">
        <w:rPr>
          <w:rFonts w:ascii="Bookman Old Style" w:hAnsi="Bookman Old Style"/>
          <w:b/>
        </w:rPr>
        <w:t xml:space="preserve">CEVU du 28 juin 2010 </w:t>
      </w:r>
    </w:p>
    <w:p w:rsidR="00070E5D" w:rsidRPr="00395DBC" w:rsidRDefault="00070E5D" w:rsidP="00070E5D">
      <w:pPr>
        <w:spacing w:line="240" w:lineRule="auto"/>
        <w:jc w:val="both"/>
        <w:rPr>
          <w:rFonts w:ascii="Bookman Old Style" w:hAnsi="Bookman Old Style"/>
          <w:b/>
        </w:rPr>
      </w:pPr>
      <w:r w:rsidRPr="00395DBC">
        <w:rPr>
          <w:rFonts w:ascii="Bookman Old Style" w:hAnsi="Bookman Old Style"/>
          <w:b/>
        </w:rPr>
        <w:t xml:space="preserve">CA du 5 juillet 2010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La présente Charte définit les dispositions communes à l’ensemble des composantes et services de l’Université concernant le déroulement des examens.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Elle s’applique à toute épreuve organisée par l’université dans le cadre des modalités de contrôle des connaissances et des compétences. Elle s’applique donc aux épreuves organisées dans le cadre du régime normal « contrôle continu », aux épreuves organisées pour les étudiants relevant de l’enseignement à distance, aux épreuves de contrôle terminal, ainsi qu’aux épreuves de la session de rattrapage. </w:t>
      </w:r>
    </w:p>
    <w:p w:rsidR="00070E5D" w:rsidRPr="00395DBC" w:rsidRDefault="00070E5D" w:rsidP="00070E5D">
      <w:pPr>
        <w:spacing w:line="240" w:lineRule="auto"/>
        <w:jc w:val="both"/>
        <w:rPr>
          <w:rFonts w:ascii="Bookman Old Style" w:hAnsi="Bookman Old Style"/>
          <w:b/>
        </w:rPr>
      </w:pPr>
      <w:r w:rsidRPr="00395DBC">
        <w:rPr>
          <w:rFonts w:ascii="Bookman Old Style" w:hAnsi="Bookman Old Style"/>
          <w:b/>
        </w:rPr>
        <w:t xml:space="preserve">1. CALENDRIER ET CONVOCATION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Le calendrier des examens de fin de semestre, hors contrôle continu, est porté à la connaissance des étudiants par voie d’affichage sécurisé au moins 15 jours avant le début des épreuves. Dans la mesure du possible, il est également mis en ligne sur le site Internet de l’Université et sur celui de la composante ou du service. Il précise le lieu, la date, l’heure de début et la durée de chaque épreuve.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L’affichage vaut convocation des étudiants. Il appartient donc à chaque étudiant de veiller à s’informer du calendrier des examens, étant rappelé que l’absence à une épreuve empêche la validation de l’Unité d’Enseignement correspondante. </w:t>
      </w:r>
    </w:p>
    <w:p w:rsidR="00070E5D" w:rsidRPr="00395DBC" w:rsidRDefault="00070E5D" w:rsidP="00070E5D">
      <w:pPr>
        <w:spacing w:line="240" w:lineRule="auto"/>
        <w:jc w:val="both"/>
        <w:rPr>
          <w:rFonts w:ascii="Bookman Old Style" w:hAnsi="Bookman Old Style"/>
          <w:b/>
        </w:rPr>
      </w:pPr>
      <w:r w:rsidRPr="00395DBC">
        <w:rPr>
          <w:rFonts w:ascii="Bookman Old Style" w:hAnsi="Bookman Old Style"/>
          <w:b/>
        </w:rPr>
        <w:t xml:space="preserve">2. DEROULEMENT DES EPREUVES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Pour chaque épreuve, un procès-verbal est établi. Il mentionne tout incident survenu dans le cadre de l’épreuve. </w:t>
      </w:r>
    </w:p>
    <w:p w:rsidR="00070E5D" w:rsidRPr="00395DBC" w:rsidRDefault="00070E5D" w:rsidP="00070E5D">
      <w:pPr>
        <w:jc w:val="both"/>
        <w:rPr>
          <w:rFonts w:ascii="Bookman Old Style" w:hAnsi="Bookman Old Style"/>
        </w:rPr>
      </w:pPr>
      <w:r w:rsidRPr="00395DBC">
        <w:rPr>
          <w:rFonts w:ascii="Bookman Old Style" w:hAnsi="Bookman Old Style"/>
        </w:rPr>
        <w:t xml:space="preserve">Il est joint aux copies et à la liste d’émargement. </w:t>
      </w:r>
    </w:p>
    <w:p w:rsidR="00070E5D" w:rsidRPr="00395DBC" w:rsidRDefault="00070E5D" w:rsidP="00070E5D">
      <w:pPr>
        <w:spacing w:line="240" w:lineRule="auto"/>
        <w:jc w:val="both"/>
        <w:rPr>
          <w:rFonts w:ascii="Bookman Old Style" w:hAnsi="Bookman Old Style"/>
          <w:b/>
        </w:rPr>
      </w:pPr>
      <w:r w:rsidRPr="00395DBC">
        <w:rPr>
          <w:rFonts w:ascii="Bookman Old Style" w:hAnsi="Bookman Old Style"/>
          <w:b/>
        </w:rPr>
        <w:t xml:space="preserve">2.1 ACCES AUX SALLES D’EXAMEN </w:t>
      </w:r>
    </w:p>
    <w:p w:rsidR="00070E5D" w:rsidRPr="00395DBC" w:rsidRDefault="00070E5D" w:rsidP="00070E5D">
      <w:pPr>
        <w:spacing w:line="240" w:lineRule="auto"/>
        <w:jc w:val="both"/>
        <w:rPr>
          <w:rFonts w:ascii="Bookman Old Style" w:hAnsi="Bookman Old Style"/>
          <w:b/>
        </w:rPr>
      </w:pPr>
      <w:r w:rsidRPr="00395DBC">
        <w:rPr>
          <w:rFonts w:ascii="Bookman Old Style" w:hAnsi="Bookman Old Style"/>
          <w:b/>
        </w:rPr>
        <w:t xml:space="preserve">2.1.1 CONDITIONS D’ENTREE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Les étudiants doivent être présents devant la salle d’examen 15 minutes avant le début des épreuves écrites. Ce temps est nécessaire à la bonne organisation des </w:t>
      </w:r>
      <w:r w:rsidRPr="00395DBC">
        <w:rPr>
          <w:rFonts w:ascii="Bookman Old Style" w:hAnsi="Bookman Old Style"/>
        </w:rPr>
        <w:lastRenderedPageBreak/>
        <w:t xml:space="preserve">formalités de contrôle d’identité et d’émargement et au bon déroulement de l’épreuve.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2.1.1.1 Contrôle d’identité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Les étudiants justifient de leur identité par la présentation de leur carte d’étudiant. En cas d’oubli, ils peuvent présenter leur carte nationale d’identité, passeport ou permis de conduire.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Les étudiants ne pouvant présenter aucun de ces documents ne sont pas autorisés à participer à l’épreuve. Les titres de transports, carte de bibliothèque et autres documents, même avec photo, ne sont pas admis comme justificatifs d’identité.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Selon les moyens techniques utilisés, et notamment en cas de lecture optique des cartes d’étudiant, le contrôle d’identité peut être organisé à l’entrée de la salle d’examen. Dans ce cas, il conditionne l’autorisation à entrer dans la salle.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Le contrôle d’identité peut également être assuré à l’intérieur de la salle, le cas échéant après le début de l’épreuve.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2.1.1.2 Tenue vestimentaire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Les tenues vestimentaires des étudiants doivent permettre de voir l’intégralité de leur visage. Les étudiants qui se présenteraient avec des tenues ne permettant pas de contrôler leur identité et de vérifier qu’ils ne dissimulent pas d’écouteurs ne sont pas autorisés à participer à l’épreuve.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2.1.1.3 Installation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Les étudiants prennent place dans la salle d’examen, le cas échéant à la place qui leur a été assignée. Les étudiants s’installent de manière à ne pas être au coude à coude et à permettre la circulation du personnel chargé de la surveillance.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Les surveillants ont toute autorité pour déterminer la place des étudiants, ils peuvent faire changer un étudiant de place s’ils le jugent utile.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Avant le début de l’épreuve, les sacs et effets personnels des étudiants sont déposés hors de leur portée, à l’endroit indiqué par les surveillants. Les étudiants ne conservent que le strict nécessaire pour composer.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Les étudiants remplissent immédiatement l’en-tête de leur copie afin de ne pas avoir à le faire à la fin de l’épreuve.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2.1.1.4 Emargement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Une fois leur identité contrôlée, les étudiants émargent au regard de leur nom.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Un étudiant ne figurant pas sur la liste d’émargement peut, sous réserve de vérification ultérieure, être autorisé à composer par l’enseignant responsable de salle. L’étudiant est alors ajouté à la liste d’émargement et mention en est portée au procès-verbal de l’épreuve. S’il s’avère par la suite que l’étudiant a composé à tort, sa copie ne sera pas prise en compte.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2.1.1.5 Retard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L’accès à la salle d’examen est interdit à tout candidat qui se présente après la distribution des sujets.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lastRenderedPageBreak/>
        <w:t xml:space="preserve">Toutefois, dans la limite d’un retard n’excédant pas le tiers de la durée de l’épreuve et au maximum d’1 heure, l’étudiant retardataire peut être autorisé à composer par l’enseignant responsable de salle.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Aucun temps supplémentaire de composition n’est accordé au candidat arrivé en retard. La mention du retard et des circonstances de celui-ci est portée au procès-verbal de l’épreuve. Des justificatifs pourront être exigés. </w:t>
      </w:r>
    </w:p>
    <w:p w:rsidR="00070E5D" w:rsidRPr="00395DBC" w:rsidRDefault="00070E5D" w:rsidP="00070E5D">
      <w:pPr>
        <w:spacing w:line="240" w:lineRule="auto"/>
        <w:jc w:val="both"/>
        <w:rPr>
          <w:rFonts w:ascii="Bookman Old Style" w:hAnsi="Bookman Old Style"/>
          <w:b/>
        </w:rPr>
      </w:pPr>
      <w:r w:rsidRPr="00395DBC">
        <w:rPr>
          <w:rFonts w:ascii="Bookman Old Style" w:hAnsi="Bookman Old Style"/>
          <w:b/>
        </w:rPr>
        <w:t xml:space="preserve">2.1.2 CONDITIONS DE SORTIE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Les règles relatives aux conditions de sortie s’appliquent quelle que soit la durée de l’épreuve, et même si l’étudiant souhaite abandonner et rendre copie blanche.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2.1.2.1 Sortie temporaire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Une fois les sujets distribués, aucune sortie temporaire n’est autorisée avant la fin de la 2ème heure.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En cas d’épreuve d’une durée inférieure ou égale à 2 heures, aucune sortie temporaire n’est autorisée.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Toutefois, en cas d’urgence médicale, l’étudiant est autorisé à sortir avant la fin de la 2ème heure. Il est alors accompagné d’un surveillant.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Au-delà de la 2ème heure, les étudiants ne peuvent être autorisés à quitter temporairement la salle que :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-1 par 1 ;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-sans documents ni moyens de communication ;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-contre la remise de leur carte d’étudiant aux surveillants, carte qu’ils récupèrent à leur retour. Toute absence anormalement prolongée sera consignée au procès-verbal de l’épreuve.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2.1.2.2 Sortie définitive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Une fois les sujets distribués, aucune sortie définitive n’est autorisée avant la fin de la 1ère heure.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En cas d’épreuve d’une durée inférieure ou égale à 1 heure, aucune sortie n’est autorisée.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Les étudiants ne peuvent quitter définitivement la salle qu’après la remise d’une copie à leur nom, même blanche.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L’étudiant qui quitterait la salle d’examen sans remettre de copie serait considéré comme défaillant. </w:t>
      </w:r>
    </w:p>
    <w:p w:rsidR="00070E5D" w:rsidRPr="00395DBC" w:rsidRDefault="00070E5D" w:rsidP="00070E5D">
      <w:pPr>
        <w:spacing w:line="240" w:lineRule="auto"/>
        <w:jc w:val="both"/>
        <w:rPr>
          <w:rFonts w:ascii="Bookman Old Style" w:hAnsi="Bookman Old Style"/>
          <w:b/>
        </w:rPr>
      </w:pPr>
      <w:r w:rsidRPr="00395DBC">
        <w:rPr>
          <w:rFonts w:ascii="Bookman Old Style" w:hAnsi="Bookman Old Style"/>
          <w:b/>
        </w:rPr>
        <w:t xml:space="preserve">2.2 CONSIGNES A RESPECTER PENDANT TOUTE LA DUREE DE L’EPREUVE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A l’exception des documents expressément autorisés par le sujet, aucun matériel (note, livre, document, support électronique) ne sera détenu par l’étudiant pendant les épreuves.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Les sacs, documents, objets ou autres matériels sont déposés hors de portée avant le début de l’épreuve.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lastRenderedPageBreak/>
        <w:t xml:space="preserve">Lorsque des documents ou matériels sont autorisés par le sujet, ils sont à usage strictement individuels, et ne peuvent être échangés entre étudiants. Ils sont vierges de toute annotation, surlignage, post-it ou mémoire.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Cela vaut en particulier pour les codes juridiques et les calculatrices programmables, qui doivent être vierges de toute annotation ou programmation particulière.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L’usage de téléphones portables ou de tout autre moyen de communication, même à l’usage d’horloge, est strictement interdit.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Il appartient aux étudiants de se munir d’une montre, l’Université ne garantissant pas la présence d’horloges dans les salles d’examen.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Même éteints, les téléphones portables sont déposés hors de portée avec les effets personnels des étudiants. A défaut, ils seront saisis par les surveillants.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Les étudiants composent seuls et personnellement.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Il est interdit aux étudiants de parler ou d’échanger quelque information que ce soit entre eux pendant l’épreuve. Toute question sera adressée aux surveillants.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Les étudiants utilisent exclusivement les copies et brouillons mis à leur disposition par l’Université.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En dehors de l’en-tête anonymable, la copie ne doit porter aucun signe distinctif susceptible d’identifier l’étudiant.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A défaut, le jury pourra considérer qu’il y a rupture d’anonymat et annuler la copie. </w:t>
      </w:r>
    </w:p>
    <w:p w:rsidR="00070E5D" w:rsidRPr="00395DBC" w:rsidRDefault="00070E5D" w:rsidP="00070E5D">
      <w:pPr>
        <w:spacing w:line="240" w:lineRule="auto"/>
        <w:jc w:val="both"/>
        <w:rPr>
          <w:rFonts w:ascii="Bookman Old Style" w:hAnsi="Bookman Old Style"/>
          <w:b/>
        </w:rPr>
      </w:pPr>
      <w:r w:rsidRPr="00395DBC">
        <w:rPr>
          <w:rFonts w:ascii="Bookman Old Style" w:hAnsi="Bookman Old Style"/>
          <w:b/>
        </w:rPr>
        <w:t xml:space="preserve">2.3 FIN DE L’EPREUVE ET REMISE DES COPIES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Au signal de fin d’épreuve donné par l’enseignant responsable de salle, tous les étudiants cessent immédiatement de composer. Tout refus de cesser d’écrire sera porté au procès-verbal de l’épreuve.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Chaque étudiant remet une copie, même blanche, et anonymée.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L’étudiant qui a quitté la salle ne peut plus remettre de copie ou d’intercalaires oubliés. </w:t>
      </w:r>
    </w:p>
    <w:p w:rsidR="00070E5D" w:rsidRPr="00395DBC" w:rsidRDefault="00070E5D" w:rsidP="00070E5D">
      <w:pPr>
        <w:spacing w:line="240" w:lineRule="auto"/>
        <w:jc w:val="both"/>
        <w:rPr>
          <w:rFonts w:ascii="Bookman Old Style" w:hAnsi="Bookman Old Style"/>
          <w:b/>
        </w:rPr>
      </w:pPr>
      <w:r w:rsidRPr="00395DBC">
        <w:rPr>
          <w:rFonts w:ascii="Bookman Old Style" w:hAnsi="Bookman Old Style"/>
          <w:b/>
        </w:rPr>
        <w:t xml:space="preserve">2.4 CAS DES ETUDIANTS HANDICAPES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Afin de garantir l’égalité de leurs chances avec les autres étudiants, les candidats aux examens de l’enseignement supérieur présentant un handicap temporaire ou permanent peuvent bénéficier des aménagements rendus nécessaires par leur situation. </w:t>
      </w:r>
    </w:p>
    <w:p w:rsidR="00070E5D" w:rsidRPr="00395DBC" w:rsidRDefault="00070E5D" w:rsidP="00070E5D">
      <w:pPr>
        <w:spacing w:line="240" w:lineRule="auto"/>
        <w:jc w:val="both"/>
        <w:rPr>
          <w:rFonts w:ascii="Bookman Old Style" w:hAnsi="Bookman Old Style"/>
        </w:rPr>
      </w:pP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Il appartient aux étudiants souhaitant bénéficier d’un aménagement de saisir le service de médecine préventive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(SUMPPS) et le service handicap.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En cas d’handicap permanent, cette démarche doit être effectuée avant le 15 novembre de chaque année universitaire faisant l’objet d’une inscription et être renouvelée chaque année.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lastRenderedPageBreak/>
        <w:t xml:space="preserve">En cas d’handicap temporaire, l’étudiant se manifeste dans les meilleurs délais. </w:t>
      </w:r>
    </w:p>
    <w:p w:rsidR="00070E5D" w:rsidRPr="00395DBC" w:rsidRDefault="00070E5D" w:rsidP="00070E5D">
      <w:pPr>
        <w:spacing w:line="240" w:lineRule="auto"/>
        <w:jc w:val="both"/>
        <w:rPr>
          <w:rFonts w:ascii="Bookman Old Style" w:hAnsi="Bookman Old Style"/>
          <w:b/>
        </w:rPr>
      </w:pPr>
      <w:r w:rsidRPr="00395DBC">
        <w:rPr>
          <w:rFonts w:ascii="Bookman Old Style" w:hAnsi="Bookman Old Style"/>
          <w:b/>
        </w:rPr>
        <w:t xml:space="preserve">2.5 LAÏCITE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Les étudiants ne sauraient invoquer des motifs religieux, philosophiques ou politiques pour refuser de se soumettre à certaines épreuves, contester le choix des sujets, demander de changer la date d’une épreuve, ni pour prétendre choisir un examinateur plutôt qu'un autre. </w:t>
      </w:r>
    </w:p>
    <w:p w:rsidR="00070E5D" w:rsidRPr="00395DBC" w:rsidRDefault="00070E5D" w:rsidP="00070E5D">
      <w:pPr>
        <w:spacing w:line="240" w:lineRule="auto"/>
        <w:jc w:val="both"/>
        <w:rPr>
          <w:rFonts w:ascii="Bookman Old Style" w:hAnsi="Bookman Old Style"/>
          <w:b/>
        </w:rPr>
      </w:pPr>
      <w:r w:rsidRPr="00395DBC">
        <w:rPr>
          <w:rFonts w:ascii="Bookman Old Style" w:hAnsi="Bookman Old Style"/>
          <w:b/>
        </w:rPr>
        <w:t xml:space="preserve">3. FRAUDE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Toute infraction aux règles énoncées ci-dessus sera considérée comme une tentative de fraude et pourra donner lieu à la saisine de la section disciplinaire.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En cas de flagrant délit :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-Les surveillants prennent toute mesure nécessaire pour faire cesser la fraude. Ils ont toute autorité pour saisir les documents ou matériels permettant d’établir la réalité des faits. Ils portent mention de l’incident au procès-verbal de l’épreuve et rédigent un rapport précis et détaillé qui est joint à celui-ci.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-L’étudiant continue de composer. Toutefois, en cas de substitution de personnes ou de troubles affectant le déroulement de l’épreuve, l’expulsion de la salle d’examen peut être prononcée.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Les sanctions encourues vont de l’avertissement à l’exclusion définitive de tout établissement public d’enseignement supérieur. </w:t>
      </w:r>
    </w:p>
    <w:p w:rsidR="00070E5D" w:rsidRPr="00395DBC" w:rsidRDefault="00070E5D" w:rsidP="00070E5D">
      <w:pPr>
        <w:spacing w:line="240" w:lineRule="auto"/>
        <w:jc w:val="both"/>
        <w:rPr>
          <w:rFonts w:ascii="Bookman Old Style" w:hAnsi="Bookman Old Style"/>
          <w:b/>
        </w:rPr>
      </w:pPr>
      <w:r w:rsidRPr="00395DBC">
        <w:rPr>
          <w:rFonts w:ascii="Bookman Old Style" w:hAnsi="Bookman Old Style"/>
          <w:b/>
        </w:rPr>
        <w:t xml:space="preserve">4. COMMUNICATION DES RESULTATS ET CONSULTATION DES COPIES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Les résultats sont communiqués par voie d’affichage et par Internet. Les résultats des examens de janvier sont communiqués à titre informatif, sous réserve des délibérations des jurys. </w:t>
      </w:r>
    </w:p>
    <w:p w:rsidR="00070E5D" w:rsidRPr="00395DBC" w:rsidRDefault="00070E5D" w:rsidP="00070E5D">
      <w:pPr>
        <w:spacing w:line="240" w:lineRule="auto"/>
        <w:jc w:val="both"/>
        <w:rPr>
          <w:rFonts w:ascii="Bookman Old Style" w:hAnsi="Bookman Old Style"/>
        </w:rPr>
      </w:pPr>
      <w:r w:rsidRPr="00395DBC">
        <w:rPr>
          <w:rFonts w:ascii="Bookman Old Style" w:hAnsi="Bookman Old Style"/>
        </w:rPr>
        <w:t xml:space="preserve">Il appartient aux étudiants qui souhaitent consulter leurs copies de s’informer auprès du service de scolarité compétent des modalités de consultation. </w:t>
      </w:r>
    </w:p>
    <w:p w:rsidR="00070E5D" w:rsidRPr="00395DBC" w:rsidRDefault="00070E5D" w:rsidP="00070E5D">
      <w:pPr>
        <w:jc w:val="both"/>
        <w:rPr>
          <w:rFonts w:ascii="Bookman Old Style" w:hAnsi="Bookman Old Style"/>
        </w:rPr>
      </w:pPr>
    </w:p>
    <w:p w:rsidR="00827B15" w:rsidRPr="00395DBC" w:rsidRDefault="00827B15" w:rsidP="00827B15">
      <w:pPr>
        <w:rPr>
          <w:rFonts w:ascii="Bookman Old Style" w:hAnsi="Bookman Old Style" w:cs="Times New Roman"/>
          <w:b/>
        </w:rPr>
      </w:pPr>
    </w:p>
    <w:p w:rsidR="008926CF" w:rsidRPr="00395DBC" w:rsidRDefault="008926CF" w:rsidP="00827B15">
      <w:pPr>
        <w:rPr>
          <w:rFonts w:ascii="Bookman Old Style" w:hAnsi="Bookman Old Style"/>
        </w:rPr>
      </w:pPr>
    </w:p>
    <w:sectPr w:rsidR="008926CF" w:rsidRPr="00395DBC" w:rsidSect="005A0D95">
      <w:footerReference w:type="default" r:id="rId5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4CF2" w:rsidRDefault="005A4CF2" w:rsidP="00650C9A">
      <w:pPr>
        <w:spacing w:after="0" w:line="240" w:lineRule="auto"/>
      </w:pPr>
      <w:r>
        <w:separator/>
      </w:r>
    </w:p>
  </w:endnote>
  <w:endnote w:type="continuationSeparator" w:id="0">
    <w:p w:rsidR="005A4CF2" w:rsidRDefault="005A4CF2" w:rsidP="00650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华文新魏">
    <w:altName w:val="MS PMincho"/>
    <w:charset w:val="80"/>
    <w:family w:val="roman"/>
    <w:pitch w:val="default"/>
  </w:font>
  <w:font w:name="BookmanOldStyle">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Neue">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767265"/>
      <w:docPartObj>
        <w:docPartGallery w:val="Page Numbers (Bottom of Page)"/>
        <w:docPartUnique/>
      </w:docPartObj>
    </w:sdtPr>
    <w:sdtEndPr/>
    <w:sdtContent>
      <w:p w:rsidR="00777EF5" w:rsidRDefault="00650407">
        <w:pPr>
          <w:pStyle w:val="Pieddepage"/>
          <w:jc w:val="center"/>
        </w:pPr>
        <w:r>
          <w:fldChar w:fldCharType="begin"/>
        </w:r>
        <w:r>
          <w:instrText xml:space="preserve"> PAGE   \* MERGEFORMAT </w:instrText>
        </w:r>
        <w:r>
          <w:fldChar w:fldCharType="separate"/>
        </w:r>
        <w:r w:rsidR="00A24970">
          <w:rPr>
            <w:noProof/>
          </w:rPr>
          <w:t>3</w:t>
        </w:r>
        <w:r>
          <w:rPr>
            <w:noProof/>
          </w:rPr>
          <w:fldChar w:fldCharType="end"/>
        </w:r>
      </w:p>
    </w:sdtContent>
  </w:sdt>
  <w:p w:rsidR="00777EF5" w:rsidRDefault="00777EF5">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4CF2" w:rsidRDefault="005A4CF2" w:rsidP="00650C9A">
      <w:pPr>
        <w:spacing w:after="0" w:line="240" w:lineRule="auto"/>
      </w:pPr>
      <w:r>
        <w:separator/>
      </w:r>
    </w:p>
  </w:footnote>
  <w:footnote w:type="continuationSeparator" w:id="0">
    <w:p w:rsidR="005A4CF2" w:rsidRDefault="005A4CF2" w:rsidP="00650C9A">
      <w:pPr>
        <w:spacing w:after="0" w:line="240" w:lineRule="auto"/>
      </w:pPr>
      <w:r>
        <w:continuationSeparator/>
      </w:r>
    </w:p>
  </w:footnote>
  <w:footnote w:id="1">
    <w:p w:rsidR="00070E5D" w:rsidRDefault="00070E5D" w:rsidP="00070E5D">
      <w:pPr>
        <w:pStyle w:val="Notedebasdepage"/>
        <w:rPr>
          <w:rFonts w:ascii="Arial" w:hAnsi="Arial" w:cs="Arial"/>
          <w:sz w:val="18"/>
          <w:szCs w:val="18"/>
        </w:rPr>
      </w:pPr>
      <w:r>
        <w:rPr>
          <w:rStyle w:val="Appelnotedebasdep"/>
        </w:rPr>
        <w:footnoteRef/>
      </w:r>
      <w:r>
        <w:t xml:space="preserve"> </w:t>
      </w:r>
      <w:r w:rsidRPr="00F33A67">
        <w:rPr>
          <w:rFonts w:ascii="Arial" w:hAnsi="Arial" w:cs="Arial"/>
          <w:sz w:val="18"/>
          <w:szCs w:val="18"/>
        </w:rPr>
        <w:t xml:space="preserve">Le contrôle en cours de formation (CCF) est un mode d’évaluation certificateur de compétences </w:t>
      </w:r>
      <w:r w:rsidRPr="00F33A67">
        <w:rPr>
          <w:rFonts w:ascii="Arial" w:hAnsi="Arial" w:cs="Arial"/>
          <w:b/>
          <w:sz w:val="18"/>
          <w:szCs w:val="18"/>
          <w:u w:val="single"/>
        </w:rPr>
        <w:t>terminales</w:t>
      </w:r>
      <w:r w:rsidRPr="00F33A67">
        <w:rPr>
          <w:rFonts w:ascii="Arial" w:hAnsi="Arial" w:cs="Arial"/>
          <w:sz w:val="18"/>
          <w:szCs w:val="18"/>
        </w:rPr>
        <w:t>. Les situations d’évaluation sont réalisées par les formateurs eux-mêmes, et se déroule en une seule fois  à la fin de la période d’</w:t>
      </w:r>
      <w:r>
        <w:rPr>
          <w:rFonts w:ascii="Arial" w:hAnsi="Arial" w:cs="Arial"/>
          <w:sz w:val="18"/>
          <w:szCs w:val="18"/>
        </w:rPr>
        <w:t>enseignement définie</w:t>
      </w:r>
      <w:r w:rsidRPr="00F33A67">
        <w:rPr>
          <w:rFonts w:ascii="Arial" w:hAnsi="Arial" w:cs="Arial"/>
          <w:sz w:val="18"/>
          <w:szCs w:val="18"/>
        </w:rPr>
        <w:t xml:space="preserve"> par la maquette et l’emploi du temps du diplôme.</w:t>
      </w:r>
    </w:p>
    <w:p w:rsidR="00070E5D" w:rsidRPr="00F33A67" w:rsidRDefault="00070E5D" w:rsidP="00070E5D">
      <w:pPr>
        <w:pStyle w:val="Notedebasdepage"/>
        <w:rPr>
          <w:rFonts w:ascii="Arial" w:hAnsi="Arial" w:cs="Arial"/>
          <w:sz w:val="18"/>
          <w:szCs w:val="18"/>
        </w:rPr>
      </w:pPr>
      <w:r>
        <w:rPr>
          <w:rFonts w:ascii="Arial" w:hAnsi="Arial" w:cs="Arial"/>
          <w:sz w:val="18"/>
          <w:szCs w:val="18"/>
        </w:rPr>
        <w:t>Le CCF n’exclue pas le fait qu’une ou plusieurs évaluations formatives peuvent être mises en œuvre tout au long du cycle de formation.</w:t>
      </w:r>
    </w:p>
  </w:footnote>
  <w:footnote w:id="2">
    <w:p w:rsidR="00070E5D" w:rsidRPr="006B3D9C" w:rsidRDefault="00070E5D" w:rsidP="00070E5D">
      <w:pPr>
        <w:pStyle w:val="Notedebasdepage"/>
        <w:rPr>
          <w:rFonts w:ascii="Arial" w:hAnsi="Arial" w:cs="Arial"/>
          <w:sz w:val="18"/>
          <w:szCs w:val="18"/>
        </w:rPr>
      </w:pPr>
      <w:r w:rsidRPr="006B3D9C">
        <w:rPr>
          <w:rStyle w:val="Appelnotedebasdep"/>
          <w:rFonts w:ascii="Arial" w:hAnsi="Arial" w:cs="Arial"/>
          <w:sz w:val="18"/>
          <w:szCs w:val="18"/>
        </w:rPr>
        <w:footnoteRef/>
      </w:r>
      <w:r w:rsidRPr="006B3D9C">
        <w:rPr>
          <w:rFonts w:ascii="Arial" w:hAnsi="Arial" w:cs="Arial"/>
          <w:sz w:val="18"/>
          <w:szCs w:val="18"/>
        </w:rPr>
        <w:t xml:space="preserve"> Cette période pourra exceptionnellement être calée sur les périodes de vacances universitaires lorsque le calendrier de l’année universitaire le rendrait nécessaire. Cette adaptation ne pourra cependant être proposée qu’à partir d’une période de coupure supérieure à une semaine.</w:t>
      </w:r>
    </w:p>
  </w:footnote>
  <w:footnote w:id="3">
    <w:p w:rsidR="00070E5D" w:rsidRPr="003E6AB5" w:rsidRDefault="00070E5D" w:rsidP="00070E5D">
      <w:pPr>
        <w:pStyle w:val="Notedebasdepage"/>
        <w:rPr>
          <w:rFonts w:ascii="Arial" w:hAnsi="Arial" w:cs="Arial"/>
          <w:sz w:val="18"/>
          <w:szCs w:val="18"/>
        </w:rPr>
      </w:pPr>
      <w:r w:rsidRPr="003E6AB5">
        <w:rPr>
          <w:rStyle w:val="Appelnotedebasdep"/>
          <w:rFonts w:ascii="Arial" w:hAnsi="Arial" w:cs="Arial"/>
          <w:sz w:val="18"/>
          <w:szCs w:val="18"/>
        </w:rPr>
        <w:footnoteRef/>
      </w:r>
      <w:r w:rsidRPr="003E6AB5">
        <w:rPr>
          <w:rFonts w:ascii="Arial" w:hAnsi="Arial" w:cs="Arial"/>
          <w:sz w:val="18"/>
          <w:szCs w:val="18"/>
        </w:rPr>
        <w:t xml:space="preserve"> </w:t>
      </w:r>
      <w:r w:rsidRPr="00515DD7">
        <w:rPr>
          <w:rFonts w:ascii="Arial" w:hAnsi="Arial" w:cs="Arial"/>
          <w:sz w:val="18"/>
          <w:szCs w:val="18"/>
        </w:rPr>
        <w:t>Lorsque le volume horaire de l’UE ou de l’EC considéré est supérieur ou inférieur à 12 séquences (base 1 séquence hebdomadaire sur la base du calendrier universitaire), la règle des 25% d’absences (arrondies à l’entier inférieur) sera retenue. Par exemple, pour 10 séances de TD, le seuil sera fixé à (10 * 25/100) = 2,5. L’étudiant(e) sera déclaré(e) défaillant(e) à partir de la troisième absence.</w:t>
      </w:r>
      <w:r>
        <w:rPr>
          <w:rFonts w:ascii="Arial" w:hAnsi="Arial" w:cs="Arial"/>
          <w:color w:val="FF0000"/>
          <w:sz w:val="18"/>
          <w:szCs w:val="18"/>
        </w:rPr>
        <w:t xml:space="preserve"> </w:t>
      </w:r>
    </w:p>
  </w:footnote>
  <w:footnote w:id="4">
    <w:p w:rsidR="00070E5D" w:rsidRPr="00AC22DE" w:rsidRDefault="00070E5D" w:rsidP="00070E5D">
      <w:pPr>
        <w:pStyle w:val="Notedebasdepage"/>
        <w:rPr>
          <w:rFonts w:ascii="Arial" w:hAnsi="Arial" w:cs="Arial"/>
          <w:color w:val="FF0000"/>
          <w:sz w:val="18"/>
          <w:szCs w:val="18"/>
        </w:rPr>
      </w:pPr>
      <w:r w:rsidRPr="00515DD7">
        <w:rPr>
          <w:rStyle w:val="Appelnotedebasdep"/>
          <w:rFonts w:ascii="Arial" w:hAnsi="Arial" w:cs="Arial"/>
          <w:sz w:val="18"/>
          <w:szCs w:val="18"/>
        </w:rPr>
        <w:footnoteRef/>
      </w:r>
      <w:r w:rsidRPr="00515DD7">
        <w:rPr>
          <w:rFonts w:ascii="Arial" w:hAnsi="Arial" w:cs="Arial"/>
          <w:sz w:val="18"/>
          <w:szCs w:val="18"/>
        </w:rPr>
        <w:t xml:space="preserve"> </w:t>
      </w:r>
      <w:r w:rsidRPr="006C72F7">
        <w:rPr>
          <w:rFonts w:ascii="Arial" w:hAnsi="Arial" w:cs="Arial"/>
          <w:color w:val="3366FF"/>
          <w:sz w:val="18"/>
          <w:szCs w:val="18"/>
        </w:rPr>
        <w:t>Dans certaines formations, et sur la durée d’une année universitaire, (e.g., STAPS en cas de blessure et d’incapacité à pratiquer une activité physique) ou dans certaines circonstances (i.e.., accident, longue maladie, ou affection chronique nécessitant une prise en charge régulière après avis du service médical de l’université), le jury pourra décider d’attribuer la note « ABJ » (i.e., ABsence Justifiée). Cette notation permet le report automatique de la note de « 0 » et permet donc la compensation, ainsi que le calcul global de la moyenne.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singleLevel"/>
    <w:tmpl w:val="0001040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9E3546"/>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F255C7"/>
    <w:multiLevelType w:val="hybridMultilevel"/>
    <w:tmpl w:val="4A76101A"/>
    <w:lvl w:ilvl="0" w:tplc="040C0001">
      <w:start w:val="1"/>
      <w:numFmt w:val="bullet"/>
      <w:lvlText w:val=""/>
      <w:lvlJc w:val="left"/>
      <w:pPr>
        <w:tabs>
          <w:tab w:val="num" w:pos="720"/>
        </w:tabs>
        <w:ind w:left="720" w:hanging="360"/>
      </w:pPr>
      <w:rPr>
        <w:rFonts w:ascii="Symbol" w:hAnsi="Symbol" w:hint="default"/>
      </w:rPr>
    </w:lvl>
    <w:lvl w:ilvl="1" w:tplc="040C0003">
      <w:start w:val="1"/>
      <w:numFmt w:val="decimal"/>
      <w:lvlText w:val="%2."/>
      <w:lvlJc w:val="left"/>
      <w:pPr>
        <w:tabs>
          <w:tab w:val="num" w:pos="1440"/>
        </w:tabs>
        <w:ind w:left="1440" w:hanging="360"/>
      </w:pPr>
      <w:rPr>
        <w:rFonts w:cs="Times New Roman"/>
      </w:rPr>
    </w:lvl>
    <w:lvl w:ilvl="2" w:tplc="040C0005">
      <w:start w:val="1"/>
      <w:numFmt w:val="decimal"/>
      <w:lvlText w:val="%3."/>
      <w:lvlJc w:val="left"/>
      <w:pPr>
        <w:tabs>
          <w:tab w:val="num" w:pos="2160"/>
        </w:tabs>
        <w:ind w:left="2160" w:hanging="360"/>
      </w:pPr>
      <w:rPr>
        <w:rFonts w:cs="Times New Roman"/>
      </w:rPr>
    </w:lvl>
    <w:lvl w:ilvl="3" w:tplc="040C0001">
      <w:start w:val="1"/>
      <w:numFmt w:val="decimal"/>
      <w:lvlText w:val="%4."/>
      <w:lvlJc w:val="left"/>
      <w:pPr>
        <w:tabs>
          <w:tab w:val="num" w:pos="2880"/>
        </w:tabs>
        <w:ind w:left="2880" w:hanging="360"/>
      </w:pPr>
      <w:rPr>
        <w:rFonts w:cs="Times New Roman"/>
      </w:rPr>
    </w:lvl>
    <w:lvl w:ilvl="4" w:tplc="040C0003">
      <w:start w:val="1"/>
      <w:numFmt w:val="decimal"/>
      <w:lvlText w:val="%5."/>
      <w:lvlJc w:val="left"/>
      <w:pPr>
        <w:tabs>
          <w:tab w:val="num" w:pos="3600"/>
        </w:tabs>
        <w:ind w:left="3600" w:hanging="360"/>
      </w:pPr>
      <w:rPr>
        <w:rFonts w:cs="Times New Roman"/>
      </w:rPr>
    </w:lvl>
    <w:lvl w:ilvl="5" w:tplc="040C0005">
      <w:start w:val="1"/>
      <w:numFmt w:val="decimal"/>
      <w:lvlText w:val="%6."/>
      <w:lvlJc w:val="left"/>
      <w:pPr>
        <w:tabs>
          <w:tab w:val="num" w:pos="4320"/>
        </w:tabs>
        <w:ind w:left="4320" w:hanging="360"/>
      </w:pPr>
      <w:rPr>
        <w:rFonts w:cs="Times New Roman"/>
      </w:rPr>
    </w:lvl>
    <w:lvl w:ilvl="6" w:tplc="040C0001">
      <w:start w:val="1"/>
      <w:numFmt w:val="decimal"/>
      <w:lvlText w:val="%7."/>
      <w:lvlJc w:val="left"/>
      <w:pPr>
        <w:tabs>
          <w:tab w:val="num" w:pos="5040"/>
        </w:tabs>
        <w:ind w:left="5040" w:hanging="360"/>
      </w:pPr>
      <w:rPr>
        <w:rFonts w:cs="Times New Roman"/>
      </w:rPr>
    </w:lvl>
    <w:lvl w:ilvl="7" w:tplc="040C0003">
      <w:start w:val="1"/>
      <w:numFmt w:val="decimal"/>
      <w:lvlText w:val="%8."/>
      <w:lvlJc w:val="left"/>
      <w:pPr>
        <w:tabs>
          <w:tab w:val="num" w:pos="5760"/>
        </w:tabs>
        <w:ind w:left="5760" w:hanging="360"/>
      </w:pPr>
      <w:rPr>
        <w:rFonts w:cs="Times New Roman"/>
      </w:rPr>
    </w:lvl>
    <w:lvl w:ilvl="8" w:tplc="040C0005">
      <w:start w:val="1"/>
      <w:numFmt w:val="decimal"/>
      <w:lvlText w:val="%9."/>
      <w:lvlJc w:val="left"/>
      <w:pPr>
        <w:tabs>
          <w:tab w:val="num" w:pos="6480"/>
        </w:tabs>
        <w:ind w:left="6480" w:hanging="360"/>
      </w:pPr>
      <w:rPr>
        <w:rFonts w:cs="Times New Roman"/>
      </w:rPr>
    </w:lvl>
  </w:abstractNum>
  <w:abstractNum w:abstractNumId="3" w15:restartNumberingAfterBreak="0">
    <w:nsid w:val="03F4653D"/>
    <w:multiLevelType w:val="hybridMultilevel"/>
    <w:tmpl w:val="42227EAC"/>
    <w:lvl w:ilvl="0" w:tplc="2D4647F0">
      <w:start w:val="2"/>
      <w:numFmt w:val="bullet"/>
      <w:lvlText w:val="-"/>
      <w:lvlJc w:val="left"/>
      <w:pPr>
        <w:tabs>
          <w:tab w:val="num" w:pos="720"/>
        </w:tabs>
        <w:ind w:left="720" w:hanging="360"/>
      </w:pPr>
      <w:rPr>
        <w:rFonts w:ascii="Times" w:eastAsia="Times New Roman" w:hAnsi="Times"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DD1A1E"/>
    <w:multiLevelType w:val="hybridMultilevel"/>
    <w:tmpl w:val="7108B318"/>
    <w:lvl w:ilvl="0" w:tplc="F9F274B0">
      <w:start w:val="2"/>
      <w:numFmt w:val="bullet"/>
      <w:lvlText w:val="-"/>
      <w:lvlJc w:val="left"/>
      <w:pPr>
        <w:tabs>
          <w:tab w:val="num" w:pos="720"/>
        </w:tabs>
        <w:ind w:left="720" w:hanging="360"/>
      </w:pPr>
      <w:rPr>
        <w:rFonts w:ascii="Times" w:eastAsia="Times New Roman" w:hAnsi="Times" w:hint="default"/>
        <w:w w:val="0"/>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7E45F6F"/>
    <w:multiLevelType w:val="hybridMultilevel"/>
    <w:tmpl w:val="E11230E6"/>
    <w:lvl w:ilvl="0" w:tplc="040C0001">
      <w:numFmt w:val="bullet"/>
      <w:lvlText w:val=""/>
      <w:lvlJc w:val="left"/>
      <w:pPr>
        <w:ind w:left="720" w:hanging="360"/>
      </w:pPr>
      <w:rPr>
        <w:rFonts w:ascii="Symbol" w:eastAsia="Times New Roman"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C0839AF"/>
    <w:multiLevelType w:val="hybridMultilevel"/>
    <w:tmpl w:val="6204A1D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F806700"/>
    <w:multiLevelType w:val="hybridMultilevel"/>
    <w:tmpl w:val="083A1B6A"/>
    <w:lvl w:ilvl="0" w:tplc="CC92B0E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0524828"/>
    <w:multiLevelType w:val="hybridMultilevel"/>
    <w:tmpl w:val="89F04FCE"/>
    <w:lvl w:ilvl="0" w:tplc="E1C4A80E">
      <w:start w:val="1"/>
      <w:numFmt w:val="upp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4AC2F33"/>
    <w:multiLevelType w:val="hybridMultilevel"/>
    <w:tmpl w:val="CC76589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ADA4249"/>
    <w:multiLevelType w:val="hybridMultilevel"/>
    <w:tmpl w:val="487C216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DE05283"/>
    <w:multiLevelType w:val="hybridMultilevel"/>
    <w:tmpl w:val="68C81D8A"/>
    <w:lvl w:ilvl="0" w:tplc="5FEA1906">
      <w:start w:val="17"/>
      <w:numFmt w:val="bullet"/>
      <w:lvlText w:val="-"/>
      <w:lvlJc w:val="left"/>
      <w:pPr>
        <w:tabs>
          <w:tab w:val="num" w:pos="720"/>
        </w:tabs>
        <w:ind w:left="720" w:hanging="360"/>
      </w:pPr>
      <w:rPr>
        <w:rFonts w:ascii="Garamond" w:eastAsia="Times New Roman" w:hAnsi="Garamond"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EE5E6F"/>
    <w:multiLevelType w:val="hybridMultilevel"/>
    <w:tmpl w:val="FFA27914"/>
    <w:lvl w:ilvl="0" w:tplc="04090001">
      <w:start w:val="1"/>
      <w:numFmt w:val="bullet"/>
      <w:lvlText w:val=""/>
      <w:lvlJc w:val="left"/>
      <w:pPr>
        <w:tabs>
          <w:tab w:val="num" w:pos="3240"/>
        </w:tabs>
        <w:ind w:left="3240" w:hanging="360"/>
      </w:pPr>
      <w:rPr>
        <w:rFonts w:ascii="Symbol" w:hAnsi="Symbol" w:hint="default"/>
      </w:rPr>
    </w:lvl>
    <w:lvl w:ilvl="1" w:tplc="04090003">
      <w:start w:val="1"/>
      <w:numFmt w:val="bullet"/>
      <w:lvlText w:val="o"/>
      <w:lvlJc w:val="left"/>
      <w:pPr>
        <w:tabs>
          <w:tab w:val="num" w:pos="3960"/>
        </w:tabs>
        <w:ind w:left="3960" w:hanging="360"/>
      </w:pPr>
      <w:rPr>
        <w:rFonts w:ascii="Courier New" w:hAnsi="Courier New" w:cs="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cs="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cs="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3" w15:restartNumberingAfterBreak="0">
    <w:nsid w:val="214A43B2"/>
    <w:multiLevelType w:val="hybridMultilevel"/>
    <w:tmpl w:val="7842E1F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7E771B4"/>
    <w:multiLevelType w:val="hybridMultilevel"/>
    <w:tmpl w:val="8BF24EEA"/>
    <w:lvl w:ilvl="0" w:tplc="6614A1B0">
      <w:start w:val="16"/>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31D1E8A"/>
    <w:multiLevelType w:val="hybridMultilevel"/>
    <w:tmpl w:val="BB1EE972"/>
    <w:lvl w:ilvl="0" w:tplc="DE16AF18">
      <w:numFmt w:val="bullet"/>
      <w:lvlText w:val="-"/>
      <w:lvlJc w:val="left"/>
      <w:pPr>
        <w:ind w:left="1211" w:hanging="360"/>
      </w:pPr>
      <w:rPr>
        <w:rFonts w:ascii="Times New Roman" w:eastAsia="Times New Roman" w:hAnsi="Times New Roman" w:cs="Times New Roman" w:hint="default"/>
      </w:rPr>
    </w:lvl>
    <w:lvl w:ilvl="1" w:tplc="040C0003">
      <w:start w:val="1"/>
      <w:numFmt w:val="decimal"/>
      <w:lvlText w:val="%2."/>
      <w:lvlJc w:val="left"/>
      <w:pPr>
        <w:tabs>
          <w:tab w:val="num" w:pos="1586"/>
        </w:tabs>
        <w:ind w:left="1586" w:hanging="360"/>
      </w:pPr>
    </w:lvl>
    <w:lvl w:ilvl="2" w:tplc="040C0005">
      <w:start w:val="1"/>
      <w:numFmt w:val="decimal"/>
      <w:lvlText w:val="%3."/>
      <w:lvlJc w:val="left"/>
      <w:pPr>
        <w:tabs>
          <w:tab w:val="num" w:pos="2306"/>
        </w:tabs>
        <w:ind w:left="2306" w:hanging="360"/>
      </w:pPr>
    </w:lvl>
    <w:lvl w:ilvl="3" w:tplc="040C0001">
      <w:start w:val="1"/>
      <w:numFmt w:val="decimal"/>
      <w:lvlText w:val="%4."/>
      <w:lvlJc w:val="left"/>
      <w:pPr>
        <w:tabs>
          <w:tab w:val="num" w:pos="3026"/>
        </w:tabs>
        <w:ind w:left="3026" w:hanging="360"/>
      </w:pPr>
    </w:lvl>
    <w:lvl w:ilvl="4" w:tplc="040C0003">
      <w:start w:val="1"/>
      <w:numFmt w:val="decimal"/>
      <w:lvlText w:val="%5."/>
      <w:lvlJc w:val="left"/>
      <w:pPr>
        <w:tabs>
          <w:tab w:val="num" w:pos="3746"/>
        </w:tabs>
        <w:ind w:left="3746" w:hanging="360"/>
      </w:pPr>
    </w:lvl>
    <w:lvl w:ilvl="5" w:tplc="040C0005">
      <w:start w:val="1"/>
      <w:numFmt w:val="decimal"/>
      <w:lvlText w:val="%6."/>
      <w:lvlJc w:val="left"/>
      <w:pPr>
        <w:tabs>
          <w:tab w:val="num" w:pos="4466"/>
        </w:tabs>
        <w:ind w:left="4466" w:hanging="360"/>
      </w:pPr>
    </w:lvl>
    <w:lvl w:ilvl="6" w:tplc="040C0001">
      <w:start w:val="1"/>
      <w:numFmt w:val="decimal"/>
      <w:lvlText w:val="%7."/>
      <w:lvlJc w:val="left"/>
      <w:pPr>
        <w:tabs>
          <w:tab w:val="num" w:pos="5186"/>
        </w:tabs>
        <w:ind w:left="5186" w:hanging="360"/>
      </w:pPr>
    </w:lvl>
    <w:lvl w:ilvl="7" w:tplc="040C0003">
      <w:start w:val="1"/>
      <w:numFmt w:val="decimal"/>
      <w:lvlText w:val="%8."/>
      <w:lvlJc w:val="left"/>
      <w:pPr>
        <w:tabs>
          <w:tab w:val="num" w:pos="5906"/>
        </w:tabs>
        <w:ind w:left="5906" w:hanging="360"/>
      </w:pPr>
    </w:lvl>
    <w:lvl w:ilvl="8" w:tplc="040C0005">
      <w:start w:val="1"/>
      <w:numFmt w:val="decimal"/>
      <w:lvlText w:val="%9."/>
      <w:lvlJc w:val="left"/>
      <w:pPr>
        <w:tabs>
          <w:tab w:val="num" w:pos="6626"/>
        </w:tabs>
        <w:ind w:left="6626" w:hanging="360"/>
      </w:pPr>
    </w:lvl>
  </w:abstractNum>
  <w:abstractNum w:abstractNumId="16" w15:restartNumberingAfterBreak="0">
    <w:nsid w:val="3537379A"/>
    <w:multiLevelType w:val="hybridMultilevel"/>
    <w:tmpl w:val="82C40140"/>
    <w:lvl w:ilvl="0" w:tplc="6614A1B0">
      <w:start w:val="1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681557"/>
    <w:multiLevelType w:val="hybridMultilevel"/>
    <w:tmpl w:val="7D7C9878"/>
    <w:lvl w:ilvl="0" w:tplc="B18A9AEA">
      <w:start w:val="1"/>
      <w:numFmt w:val="decimal"/>
      <w:lvlText w:val="%1."/>
      <w:lvlJc w:val="left"/>
      <w:pPr>
        <w:ind w:left="360" w:hanging="360"/>
      </w:pPr>
      <w:rPr>
        <w:rFonts w:hint="default"/>
        <w:b/>
        <w:i w:val="0"/>
      </w:rPr>
    </w:lvl>
    <w:lvl w:ilvl="1" w:tplc="040C0019">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8" w15:restartNumberingAfterBreak="0">
    <w:nsid w:val="35780CA7"/>
    <w:multiLevelType w:val="hybridMultilevel"/>
    <w:tmpl w:val="9A622D4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366164A5"/>
    <w:multiLevelType w:val="hybridMultilevel"/>
    <w:tmpl w:val="CD1C249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92F015C"/>
    <w:multiLevelType w:val="hybridMultilevel"/>
    <w:tmpl w:val="6D1076B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3F7A7170"/>
    <w:multiLevelType w:val="hybridMultilevel"/>
    <w:tmpl w:val="BB04407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0C86A34"/>
    <w:multiLevelType w:val="hybridMultilevel"/>
    <w:tmpl w:val="BB04407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46A32125"/>
    <w:multiLevelType w:val="hybridMultilevel"/>
    <w:tmpl w:val="8B48DB6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15:restartNumberingAfterBreak="0">
    <w:nsid w:val="47612956"/>
    <w:multiLevelType w:val="hybridMultilevel"/>
    <w:tmpl w:val="181C62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8814C69"/>
    <w:multiLevelType w:val="hybridMultilevel"/>
    <w:tmpl w:val="3DD22D5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25A1630"/>
    <w:multiLevelType w:val="hybridMultilevel"/>
    <w:tmpl w:val="A4F4D8A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77E5465"/>
    <w:multiLevelType w:val="hybridMultilevel"/>
    <w:tmpl w:val="D3223D0C"/>
    <w:lvl w:ilvl="0" w:tplc="59D8257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5B104A22"/>
    <w:multiLevelType w:val="multilevel"/>
    <w:tmpl w:val="776E1A7A"/>
    <w:styleLink w:val="List0"/>
    <w:lvl w:ilvl="0">
      <w:start w:val="1"/>
      <w:numFmt w:val="decimal"/>
      <w:lvlText w:val="%1."/>
      <w:lvlJc w:val="left"/>
      <w:pPr>
        <w:tabs>
          <w:tab w:val="num" w:pos="396"/>
        </w:tabs>
        <w:ind w:left="396" w:hanging="33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lvl w:ilvl="1">
      <w:start w:val="1"/>
      <w:numFmt w:val="lowerLetter"/>
      <w:lvlText w:val="%2."/>
      <w:lvlJc w:val="left"/>
      <w:pPr>
        <w:tabs>
          <w:tab w:val="num" w:pos="1410"/>
        </w:tabs>
        <w:ind w:left="1410" w:hanging="33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lvl w:ilvl="2">
      <w:start w:val="1"/>
      <w:numFmt w:val="lowerRoman"/>
      <w:lvlText w:val="%3."/>
      <w:lvlJc w:val="left"/>
      <w:pPr>
        <w:tabs>
          <w:tab w:val="num" w:pos="2135"/>
        </w:tabs>
        <w:ind w:left="2135" w:hanging="271"/>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lvl w:ilvl="3">
      <w:start w:val="1"/>
      <w:numFmt w:val="decimal"/>
      <w:lvlText w:val="%4."/>
      <w:lvlJc w:val="left"/>
      <w:pPr>
        <w:tabs>
          <w:tab w:val="num" w:pos="2850"/>
        </w:tabs>
        <w:ind w:left="2850" w:hanging="33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lvl w:ilvl="4">
      <w:start w:val="1"/>
      <w:numFmt w:val="lowerLetter"/>
      <w:lvlText w:val="%5."/>
      <w:lvlJc w:val="left"/>
      <w:pPr>
        <w:tabs>
          <w:tab w:val="num" w:pos="3570"/>
        </w:tabs>
        <w:ind w:left="3570" w:hanging="33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lvl w:ilvl="5">
      <w:start w:val="1"/>
      <w:numFmt w:val="lowerRoman"/>
      <w:lvlText w:val="%6."/>
      <w:lvlJc w:val="left"/>
      <w:pPr>
        <w:tabs>
          <w:tab w:val="num" w:pos="4295"/>
        </w:tabs>
        <w:ind w:left="4295" w:hanging="271"/>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lvl w:ilvl="6">
      <w:start w:val="1"/>
      <w:numFmt w:val="decimal"/>
      <w:lvlText w:val="%7."/>
      <w:lvlJc w:val="left"/>
      <w:pPr>
        <w:tabs>
          <w:tab w:val="num" w:pos="5010"/>
        </w:tabs>
        <w:ind w:left="5010" w:hanging="33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lvl w:ilvl="7">
      <w:start w:val="1"/>
      <w:numFmt w:val="lowerLetter"/>
      <w:lvlText w:val="%8."/>
      <w:lvlJc w:val="left"/>
      <w:pPr>
        <w:tabs>
          <w:tab w:val="num" w:pos="5730"/>
        </w:tabs>
        <w:ind w:left="5730" w:hanging="33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lvl w:ilvl="8">
      <w:start w:val="1"/>
      <w:numFmt w:val="lowerRoman"/>
      <w:lvlText w:val="%9."/>
      <w:lvlJc w:val="left"/>
      <w:pPr>
        <w:tabs>
          <w:tab w:val="num" w:pos="6455"/>
        </w:tabs>
        <w:ind w:left="6455" w:hanging="271"/>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14:textOutline w14:w="0" w14:cap="rnd" w14:cmpd="sng" w14:algn="ctr">
          <w14:noFill/>
          <w14:prstDash w14:val="solid"/>
          <w14:bevel/>
        </w14:textOutline>
      </w:rPr>
    </w:lvl>
  </w:abstractNum>
  <w:abstractNum w:abstractNumId="29" w15:restartNumberingAfterBreak="0">
    <w:nsid w:val="5FFA3624"/>
    <w:multiLevelType w:val="hybridMultilevel"/>
    <w:tmpl w:val="111E0F5E"/>
    <w:lvl w:ilvl="0" w:tplc="901865FC">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620241D"/>
    <w:multiLevelType w:val="hybridMultilevel"/>
    <w:tmpl w:val="34EA636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73A60AB"/>
    <w:multiLevelType w:val="hybridMultilevel"/>
    <w:tmpl w:val="F30241F2"/>
    <w:lvl w:ilvl="0" w:tplc="040C0001">
      <w:start w:val="1"/>
      <w:numFmt w:val="bullet"/>
      <w:lvlText w:val=""/>
      <w:lvlJc w:val="left"/>
      <w:pPr>
        <w:ind w:left="720" w:hanging="360"/>
      </w:pPr>
      <w:rPr>
        <w:rFonts w:ascii="Symbol" w:hAnsi="Symbol" w:hint="default"/>
      </w:rPr>
    </w:lvl>
    <w:lvl w:ilvl="1" w:tplc="040C0003">
      <w:start w:val="1"/>
      <w:numFmt w:val="decimal"/>
      <w:lvlText w:val="%2."/>
      <w:lvlJc w:val="left"/>
      <w:pPr>
        <w:tabs>
          <w:tab w:val="num" w:pos="1440"/>
        </w:tabs>
        <w:ind w:left="1440" w:hanging="360"/>
      </w:pPr>
      <w:rPr>
        <w:rFonts w:cs="Times New Roman"/>
      </w:rPr>
    </w:lvl>
    <w:lvl w:ilvl="2" w:tplc="040C0005">
      <w:start w:val="1"/>
      <w:numFmt w:val="decimal"/>
      <w:lvlText w:val="%3."/>
      <w:lvlJc w:val="left"/>
      <w:pPr>
        <w:tabs>
          <w:tab w:val="num" w:pos="2160"/>
        </w:tabs>
        <w:ind w:left="2160" w:hanging="360"/>
      </w:pPr>
      <w:rPr>
        <w:rFonts w:cs="Times New Roman"/>
      </w:rPr>
    </w:lvl>
    <w:lvl w:ilvl="3" w:tplc="040C0001">
      <w:start w:val="1"/>
      <w:numFmt w:val="decimal"/>
      <w:lvlText w:val="%4."/>
      <w:lvlJc w:val="left"/>
      <w:pPr>
        <w:tabs>
          <w:tab w:val="num" w:pos="2880"/>
        </w:tabs>
        <w:ind w:left="2880" w:hanging="360"/>
      </w:pPr>
      <w:rPr>
        <w:rFonts w:cs="Times New Roman"/>
      </w:rPr>
    </w:lvl>
    <w:lvl w:ilvl="4" w:tplc="040C0003">
      <w:start w:val="1"/>
      <w:numFmt w:val="decimal"/>
      <w:lvlText w:val="%5."/>
      <w:lvlJc w:val="left"/>
      <w:pPr>
        <w:tabs>
          <w:tab w:val="num" w:pos="3600"/>
        </w:tabs>
        <w:ind w:left="3600" w:hanging="360"/>
      </w:pPr>
      <w:rPr>
        <w:rFonts w:cs="Times New Roman"/>
      </w:rPr>
    </w:lvl>
    <w:lvl w:ilvl="5" w:tplc="040C0005">
      <w:start w:val="1"/>
      <w:numFmt w:val="decimal"/>
      <w:lvlText w:val="%6."/>
      <w:lvlJc w:val="left"/>
      <w:pPr>
        <w:tabs>
          <w:tab w:val="num" w:pos="4320"/>
        </w:tabs>
        <w:ind w:left="4320" w:hanging="360"/>
      </w:pPr>
      <w:rPr>
        <w:rFonts w:cs="Times New Roman"/>
      </w:rPr>
    </w:lvl>
    <w:lvl w:ilvl="6" w:tplc="040C0001">
      <w:start w:val="1"/>
      <w:numFmt w:val="decimal"/>
      <w:lvlText w:val="%7."/>
      <w:lvlJc w:val="left"/>
      <w:pPr>
        <w:tabs>
          <w:tab w:val="num" w:pos="5040"/>
        </w:tabs>
        <w:ind w:left="5040" w:hanging="360"/>
      </w:pPr>
      <w:rPr>
        <w:rFonts w:cs="Times New Roman"/>
      </w:rPr>
    </w:lvl>
    <w:lvl w:ilvl="7" w:tplc="040C0003">
      <w:start w:val="1"/>
      <w:numFmt w:val="decimal"/>
      <w:lvlText w:val="%8."/>
      <w:lvlJc w:val="left"/>
      <w:pPr>
        <w:tabs>
          <w:tab w:val="num" w:pos="5760"/>
        </w:tabs>
        <w:ind w:left="5760" w:hanging="360"/>
      </w:pPr>
      <w:rPr>
        <w:rFonts w:cs="Times New Roman"/>
      </w:rPr>
    </w:lvl>
    <w:lvl w:ilvl="8" w:tplc="040C0005">
      <w:start w:val="1"/>
      <w:numFmt w:val="decimal"/>
      <w:lvlText w:val="%9."/>
      <w:lvlJc w:val="left"/>
      <w:pPr>
        <w:tabs>
          <w:tab w:val="num" w:pos="6480"/>
        </w:tabs>
        <w:ind w:left="6480" w:hanging="360"/>
      </w:pPr>
      <w:rPr>
        <w:rFonts w:cs="Times New Roman"/>
      </w:rPr>
    </w:lvl>
  </w:abstractNum>
  <w:abstractNum w:abstractNumId="32" w15:restartNumberingAfterBreak="0">
    <w:nsid w:val="69DC595F"/>
    <w:multiLevelType w:val="hybridMultilevel"/>
    <w:tmpl w:val="ABC8B3B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A046868"/>
    <w:multiLevelType w:val="hybridMultilevel"/>
    <w:tmpl w:val="54E68176"/>
    <w:lvl w:ilvl="0" w:tplc="040C0001">
      <w:start w:val="1"/>
      <w:numFmt w:val="bullet"/>
      <w:lvlText w:val=""/>
      <w:lvlJc w:val="left"/>
      <w:pPr>
        <w:tabs>
          <w:tab w:val="num" w:pos="720"/>
        </w:tabs>
        <w:ind w:left="720" w:hanging="360"/>
      </w:pPr>
      <w:rPr>
        <w:rFonts w:ascii="Symbol" w:hAnsi="Symbol" w:hint="default"/>
      </w:rPr>
    </w:lvl>
    <w:lvl w:ilvl="1" w:tplc="040C0003">
      <w:start w:val="1"/>
      <w:numFmt w:val="decimal"/>
      <w:lvlText w:val="%2."/>
      <w:lvlJc w:val="left"/>
      <w:pPr>
        <w:tabs>
          <w:tab w:val="num" w:pos="1440"/>
        </w:tabs>
        <w:ind w:left="1440" w:hanging="360"/>
      </w:pPr>
      <w:rPr>
        <w:rFonts w:cs="Times New Roman"/>
      </w:rPr>
    </w:lvl>
    <w:lvl w:ilvl="2" w:tplc="040C0005">
      <w:start w:val="1"/>
      <w:numFmt w:val="decimal"/>
      <w:lvlText w:val="%3."/>
      <w:lvlJc w:val="left"/>
      <w:pPr>
        <w:tabs>
          <w:tab w:val="num" w:pos="2160"/>
        </w:tabs>
        <w:ind w:left="2160" w:hanging="360"/>
      </w:pPr>
      <w:rPr>
        <w:rFonts w:cs="Times New Roman"/>
      </w:rPr>
    </w:lvl>
    <w:lvl w:ilvl="3" w:tplc="040C0001">
      <w:start w:val="1"/>
      <w:numFmt w:val="decimal"/>
      <w:lvlText w:val="%4."/>
      <w:lvlJc w:val="left"/>
      <w:pPr>
        <w:tabs>
          <w:tab w:val="num" w:pos="2880"/>
        </w:tabs>
        <w:ind w:left="2880" w:hanging="360"/>
      </w:pPr>
      <w:rPr>
        <w:rFonts w:cs="Times New Roman"/>
      </w:rPr>
    </w:lvl>
    <w:lvl w:ilvl="4" w:tplc="040C0003">
      <w:start w:val="1"/>
      <w:numFmt w:val="decimal"/>
      <w:lvlText w:val="%5."/>
      <w:lvlJc w:val="left"/>
      <w:pPr>
        <w:tabs>
          <w:tab w:val="num" w:pos="3600"/>
        </w:tabs>
        <w:ind w:left="3600" w:hanging="360"/>
      </w:pPr>
      <w:rPr>
        <w:rFonts w:cs="Times New Roman"/>
      </w:rPr>
    </w:lvl>
    <w:lvl w:ilvl="5" w:tplc="040C0005">
      <w:start w:val="1"/>
      <w:numFmt w:val="decimal"/>
      <w:lvlText w:val="%6."/>
      <w:lvlJc w:val="left"/>
      <w:pPr>
        <w:tabs>
          <w:tab w:val="num" w:pos="4320"/>
        </w:tabs>
        <w:ind w:left="4320" w:hanging="360"/>
      </w:pPr>
      <w:rPr>
        <w:rFonts w:cs="Times New Roman"/>
      </w:rPr>
    </w:lvl>
    <w:lvl w:ilvl="6" w:tplc="040C0001">
      <w:start w:val="1"/>
      <w:numFmt w:val="decimal"/>
      <w:lvlText w:val="%7."/>
      <w:lvlJc w:val="left"/>
      <w:pPr>
        <w:tabs>
          <w:tab w:val="num" w:pos="5040"/>
        </w:tabs>
        <w:ind w:left="5040" w:hanging="360"/>
      </w:pPr>
      <w:rPr>
        <w:rFonts w:cs="Times New Roman"/>
      </w:rPr>
    </w:lvl>
    <w:lvl w:ilvl="7" w:tplc="040C0003">
      <w:start w:val="1"/>
      <w:numFmt w:val="decimal"/>
      <w:lvlText w:val="%8."/>
      <w:lvlJc w:val="left"/>
      <w:pPr>
        <w:tabs>
          <w:tab w:val="num" w:pos="5760"/>
        </w:tabs>
        <w:ind w:left="5760" w:hanging="360"/>
      </w:pPr>
      <w:rPr>
        <w:rFonts w:cs="Times New Roman"/>
      </w:rPr>
    </w:lvl>
    <w:lvl w:ilvl="8" w:tplc="040C0005">
      <w:start w:val="1"/>
      <w:numFmt w:val="decimal"/>
      <w:lvlText w:val="%9."/>
      <w:lvlJc w:val="left"/>
      <w:pPr>
        <w:tabs>
          <w:tab w:val="num" w:pos="6480"/>
        </w:tabs>
        <w:ind w:left="6480" w:hanging="360"/>
      </w:pPr>
      <w:rPr>
        <w:rFonts w:cs="Times New Roman"/>
      </w:rPr>
    </w:lvl>
  </w:abstractNum>
  <w:abstractNum w:abstractNumId="34" w15:restartNumberingAfterBreak="0">
    <w:nsid w:val="6C176BAD"/>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6C820DCA"/>
    <w:multiLevelType w:val="hybridMultilevel"/>
    <w:tmpl w:val="2AF454E8"/>
    <w:lvl w:ilvl="0" w:tplc="040C000F">
      <w:start w:val="1"/>
      <w:numFmt w:val="decimal"/>
      <w:lvlText w:val="%1."/>
      <w:lvlJc w:val="left"/>
      <w:pPr>
        <w:tabs>
          <w:tab w:val="num" w:pos="720"/>
        </w:tabs>
        <w:ind w:left="720" w:hanging="360"/>
      </w:pPr>
      <w:rPr>
        <w:rFonts w:cs="Times New Roman"/>
      </w:rPr>
    </w:lvl>
    <w:lvl w:ilvl="1" w:tplc="040C0019">
      <w:start w:val="1"/>
      <w:numFmt w:val="decimal"/>
      <w:lvlText w:val="%2."/>
      <w:lvlJc w:val="left"/>
      <w:pPr>
        <w:tabs>
          <w:tab w:val="num" w:pos="1440"/>
        </w:tabs>
        <w:ind w:left="1440" w:hanging="360"/>
      </w:pPr>
      <w:rPr>
        <w:rFonts w:cs="Times New Roman"/>
      </w:rPr>
    </w:lvl>
    <w:lvl w:ilvl="2" w:tplc="040C001B">
      <w:start w:val="1"/>
      <w:numFmt w:val="decimal"/>
      <w:lvlText w:val="%3."/>
      <w:lvlJc w:val="left"/>
      <w:pPr>
        <w:tabs>
          <w:tab w:val="num" w:pos="2160"/>
        </w:tabs>
        <w:ind w:left="2160" w:hanging="360"/>
      </w:pPr>
      <w:rPr>
        <w:rFonts w:cs="Times New Roman"/>
      </w:rPr>
    </w:lvl>
    <w:lvl w:ilvl="3" w:tplc="040C000F">
      <w:start w:val="1"/>
      <w:numFmt w:val="decimal"/>
      <w:lvlText w:val="%4."/>
      <w:lvlJc w:val="left"/>
      <w:pPr>
        <w:tabs>
          <w:tab w:val="num" w:pos="2880"/>
        </w:tabs>
        <w:ind w:left="2880" w:hanging="360"/>
      </w:pPr>
      <w:rPr>
        <w:rFonts w:cs="Times New Roman"/>
      </w:rPr>
    </w:lvl>
    <w:lvl w:ilvl="4" w:tplc="040C0019">
      <w:start w:val="1"/>
      <w:numFmt w:val="decimal"/>
      <w:lvlText w:val="%5."/>
      <w:lvlJc w:val="left"/>
      <w:pPr>
        <w:tabs>
          <w:tab w:val="num" w:pos="3600"/>
        </w:tabs>
        <w:ind w:left="3600" w:hanging="360"/>
      </w:pPr>
      <w:rPr>
        <w:rFonts w:cs="Times New Roman"/>
      </w:rPr>
    </w:lvl>
    <w:lvl w:ilvl="5" w:tplc="040C001B">
      <w:start w:val="1"/>
      <w:numFmt w:val="decimal"/>
      <w:lvlText w:val="%6."/>
      <w:lvlJc w:val="left"/>
      <w:pPr>
        <w:tabs>
          <w:tab w:val="num" w:pos="4320"/>
        </w:tabs>
        <w:ind w:left="4320" w:hanging="360"/>
      </w:pPr>
      <w:rPr>
        <w:rFonts w:cs="Times New Roman"/>
      </w:rPr>
    </w:lvl>
    <w:lvl w:ilvl="6" w:tplc="040C000F">
      <w:start w:val="1"/>
      <w:numFmt w:val="decimal"/>
      <w:lvlText w:val="%7."/>
      <w:lvlJc w:val="left"/>
      <w:pPr>
        <w:tabs>
          <w:tab w:val="num" w:pos="5040"/>
        </w:tabs>
        <w:ind w:left="5040" w:hanging="360"/>
      </w:pPr>
      <w:rPr>
        <w:rFonts w:cs="Times New Roman"/>
      </w:rPr>
    </w:lvl>
    <w:lvl w:ilvl="7" w:tplc="040C0019">
      <w:start w:val="1"/>
      <w:numFmt w:val="decimal"/>
      <w:lvlText w:val="%8."/>
      <w:lvlJc w:val="left"/>
      <w:pPr>
        <w:tabs>
          <w:tab w:val="num" w:pos="5760"/>
        </w:tabs>
        <w:ind w:left="5760" w:hanging="360"/>
      </w:pPr>
      <w:rPr>
        <w:rFonts w:cs="Times New Roman"/>
      </w:rPr>
    </w:lvl>
    <w:lvl w:ilvl="8" w:tplc="040C001B">
      <w:start w:val="1"/>
      <w:numFmt w:val="decimal"/>
      <w:lvlText w:val="%9."/>
      <w:lvlJc w:val="left"/>
      <w:pPr>
        <w:tabs>
          <w:tab w:val="num" w:pos="6480"/>
        </w:tabs>
        <w:ind w:left="6480" w:hanging="360"/>
      </w:pPr>
      <w:rPr>
        <w:rFonts w:cs="Times New Roman"/>
      </w:rPr>
    </w:lvl>
  </w:abstractNum>
  <w:abstractNum w:abstractNumId="36" w15:restartNumberingAfterBreak="0">
    <w:nsid w:val="6F043FCA"/>
    <w:multiLevelType w:val="hybridMultilevel"/>
    <w:tmpl w:val="173A571C"/>
    <w:lvl w:ilvl="0" w:tplc="040C000F">
      <w:start w:val="1"/>
      <w:numFmt w:val="decimal"/>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37" w15:restartNumberingAfterBreak="0">
    <w:nsid w:val="71EB1EA3"/>
    <w:multiLevelType w:val="hybridMultilevel"/>
    <w:tmpl w:val="B0CCFA24"/>
    <w:lvl w:ilvl="0" w:tplc="040C0001">
      <w:start w:val="1"/>
      <w:numFmt w:val="bullet"/>
      <w:lvlText w:val=""/>
      <w:lvlJc w:val="left"/>
      <w:pPr>
        <w:tabs>
          <w:tab w:val="num" w:pos="720"/>
        </w:tabs>
        <w:ind w:left="720" w:hanging="360"/>
      </w:pPr>
      <w:rPr>
        <w:rFonts w:ascii="Symbol" w:hAnsi="Symbol" w:hint="default"/>
      </w:rPr>
    </w:lvl>
    <w:lvl w:ilvl="1" w:tplc="040C0003">
      <w:start w:val="1"/>
      <w:numFmt w:val="decimal"/>
      <w:lvlText w:val="%2."/>
      <w:lvlJc w:val="left"/>
      <w:pPr>
        <w:tabs>
          <w:tab w:val="num" w:pos="1440"/>
        </w:tabs>
        <w:ind w:left="1440" w:hanging="360"/>
      </w:pPr>
      <w:rPr>
        <w:rFonts w:cs="Times New Roman"/>
      </w:rPr>
    </w:lvl>
    <w:lvl w:ilvl="2" w:tplc="040C0005">
      <w:start w:val="1"/>
      <w:numFmt w:val="decimal"/>
      <w:lvlText w:val="%3."/>
      <w:lvlJc w:val="left"/>
      <w:pPr>
        <w:tabs>
          <w:tab w:val="num" w:pos="2160"/>
        </w:tabs>
        <w:ind w:left="2160" w:hanging="360"/>
      </w:pPr>
      <w:rPr>
        <w:rFonts w:cs="Times New Roman"/>
      </w:rPr>
    </w:lvl>
    <w:lvl w:ilvl="3" w:tplc="040C0001">
      <w:start w:val="1"/>
      <w:numFmt w:val="decimal"/>
      <w:lvlText w:val="%4."/>
      <w:lvlJc w:val="left"/>
      <w:pPr>
        <w:tabs>
          <w:tab w:val="num" w:pos="2880"/>
        </w:tabs>
        <w:ind w:left="2880" w:hanging="360"/>
      </w:pPr>
      <w:rPr>
        <w:rFonts w:cs="Times New Roman"/>
      </w:rPr>
    </w:lvl>
    <w:lvl w:ilvl="4" w:tplc="040C0003">
      <w:start w:val="1"/>
      <w:numFmt w:val="decimal"/>
      <w:lvlText w:val="%5."/>
      <w:lvlJc w:val="left"/>
      <w:pPr>
        <w:tabs>
          <w:tab w:val="num" w:pos="3600"/>
        </w:tabs>
        <w:ind w:left="3600" w:hanging="360"/>
      </w:pPr>
      <w:rPr>
        <w:rFonts w:cs="Times New Roman"/>
      </w:rPr>
    </w:lvl>
    <w:lvl w:ilvl="5" w:tplc="040C0005">
      <w:start w:val="1"/>
      <w:numFmt w:val="decimal"/>
      <w:lvlText w:val="%6."/>
      <w:lvlJc w:val="left"/>
      <w:pPr>
        <w:tabs>
          <w:tab w:val="num" w:pos="4320"/>
        </w:tabs>
        <w:ind w:left="4320" w:hanging="360"/>
      </w:pPr>
      <w:rPr>
        <w:rFonts w:cs="Times New Roman"/>
      </w:rPr>
    </w:lvl>
    <w:lvl w:ilvl="6" w:tplc="040C0001">
      <w:start w:val="1"/>
      <w:numFmt w:val="decimal"/>
      <w:lvlText w:val="%7."/>
      <w:lvlJc w:val="left"/>
      <w:pPr>
        <w:tabs>
          <w:tab w:val="num" w:pos="5040"/>
        </w:tabs>
        <w:ind w:left="5040" w:hanging="360"/>
      </w:pPr>
      <w:rPr>
        <w:rFonts w:cs="Times New Roman"/>
      </w:rPr>
    </w:lvl>
    <w:lvl w:ilvl="7" w:tplc="040C0003">
      <w:start w:val="1"/>
      <w:numFmt w:val="decimal"/>
      <w:lvlText w:val="%8."/>
      <w:lvlJc w:val="left"/>
      <w:pPr>
        <w:tabs>
          <w:tab w:val="num" w:pos="5760"/>
        </w:tabs>
        <w:ind w:left="5760" w:hanging="360"/>
      </w:pPr>
      <w:rPr>
        <w:rFonts w:cs="Times New Roman"/>
      </w:rPr>
    </w:lvl>
    <w:lvl w:ilvl="8" w:tplc="040C0005">
      <w:start w:val="1"/>
      <w:numFmt w:val="decimal"/>
      <w:lvlText w:val="%9."/>
      <w:lvlJc w:val="left"/>
      <w:pPr>
        <w:tabs>
          <w:tab w:val="num" w:pos="6480"/>
        </w:tabs>
        <w:ind w:left="6480" w:hanging="360"/>
      </w:pPr>
      <w:rPr>
        <w:rFonts w:cs="Times New Roman"/>
      </w:rPr>
    </w:lvl>
  </w:abstractNum>
  <w:abstractNum w:abstractNumId="38" w15:restartNumberingAfterBreak="0">
    <w:nsid w:val="7215608A"/>
    <w:multiLevelType w:val="hybridMultilevel"/>
    <w:tmpl w:val="C0E49252"/>
    <w:lvl w:ilvl="0" w:tplc="2594658C">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880"/>
        </w:tabs>
        <w:ind w:left="880" w:hanging="360"/>
      </w:pPr>
      <w:rPr>
        <w:rFonts w:ascii="Courier New" w:hAnsi="Courier New" w:hint="default"/>
      </w:rPr>
    </w:lvl>
    <w:lvl w:ilvl="2" w:tplc="040C0005" w:tentative="1">
      <w:start w:val="1"/>
      <w:numFmt w:val="bullet"/>
      <w:lvlText w:val=""/>
      <w:lvlJc w:val="left"/>
      <w:pPr>
        <w:tabs>
          <w:tab w:val="num" w:pos="1600"/>
        </w:tabs>
        <w:ind w:left="1600" w:hanging="360"/>
      </w:pPr>
      <w:rPr>
        <w:rFonts w:ascii="Wingdings" w:hAnsi="Wingdings" w:hint="default"/>
      </w:rPr>
    </w:lvl>
    <w:lvl w:ilvl="3" w:tplc="040C0001" w:tentative="1">
      <w:start w:val="1"/>
      <w:numFmt w:val="bullet"/>
      <w:lvlText w:val=""/>
      <w:lvlJc w:val="left"/>
      <w:pPr>
        <w:tabs>
          <w:tab w:val="num" w:pos="2320"/>
        </w:tabs>
        <w:ind w:left="2320" w:hanging="360"/>
      </w:pPr>
      <w:rPr>
        <w:rFonts w:ascii="Symbol" w:hAnsi="Symbol" w:hint="default"/>
      </w:rPr>
    </w:lvl>
    <w:lvl w:ilvl="4" w:tplc="040C0003" w:tentative="1">
      <w:start w:val="1"/>
      <w:numFmt w:val="bullet"/>
      <w:lvlText w:val="o"/>
      <w:lvlJc w:val="left"/>
      <w:pPr>
        <w:tabs>
          <w:tab w:val="num" w:pos="3040"/>
        </w:tabs>
        <w:ind w:left="3040" w:hanging="360"/>
      </w:pPr>
      <w:rPr>
        <w:rFonts w:ascii="Courier New" w:hAnsi="Courier New" w:hint="default"/>
      </w:rPr>
    </w:lvl>
    <w:lvl w:ilvl="5" w:tplc="040C0005" w:tentative="1">
      <w:start w:val="1"/>
      <w:numFmt w:val="bullet"/>
      <w:lvlText w:val=""/>
      <w:lvlJc w:val="left"/>
      <w:pPr>
        <w:tabs>
          <w:tab w:val="num" w:pos="3760"/>
        </w:tabs>
        <w:ind w:left="3760" w:hanging="360"/>
      </w:pPr>
      <w:rPr>
        <w:rFonts w:ascii="Wingdings" w:hAnsi="Wingdings" w:hint="default"/>
      </w:rPr>
    </w:lvl>
    <w:lvl w:ilvl="6" w:tplc="040C0001" w:tentative="1">
      <w:start w:val="1"/>
      <w:numFmt w:val="bullet"/>
      <w:lvlText w:val=""/>
      <w:lvlJc w:val="left"/>
      <w:pPr>
        <w:tabs>
          <w:tab w:val="num" w:pos="4480"/>
        </w:tabs>
        <w:ind w:left="4480" w:hanging="360"/>
      </w:pPr>
      <w:rPr>
        <w:rFonts w:ascii="Symbol" w:hAnsi="Symbol" w:hint="default"/>
      </w:rPr>
    </w:lvl>
    <w:lvl w:ilvl="7" w:tplc="040C0003" w:tentative="1">
      <w:start w:val="1"/>
      <w:numFmt w:val="bullet"/>
      <w:lvlText w:val="o"/>
      <w:lvlJc w:val="left"/>
      <w:pPr>
        <w:tabs>
          <w:tab w:val="num" w:pos="5200"/>
        </w:tabs>
        <w:ind w:left="5200" w:hanging="360"/>
      </w:pPr>
      <w:rPr>
        <w:rFonts w:ascii="Courier New" w:hAnsi="Courier New" w:hint="default"/>
      </w:rPr>
    </w:lvl>
    <w:lvl w:ilvl="8" w:tplc="040C0005" w:tentative="1">
      <w:start w:val="1"/>
      <w:numFmt w:val="bullet"/>
      <w:lvlText w:val=""/>
      <w:lvlJc w:val="left"/>
      <w:pPr>
        <w:tabs>
          <w:tab w:val="num" w:pos="5920"/>
        </w:tabs>
        <w:ind w:left="5920" w:hanging="360"/>
      </w:pPr>
      <w:rPr>
        <w:rFonts w:ascii="Wingdings" w:hAnsi="Wingdings" w:hint="default"/>
      </w:rPr>
    </w:lvl>
  </w:abstractNum>
  <w:abstractNum w:abstractNumId="39" w15:restartNumberingAfterBreak="0">
    <w:nsid w:val="722A7CF8"/>
    <w:multiLevelType w:val="hybridMultilevel"/>
    <w:tmpl w:val="30C66D2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70B222B"/>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79061B39"/>
    <w:multiLevelType w:val="hybridMultilevel"/>
    <w:tmpl w:val="24FC454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11"/>
  </w:num>
  <w:num w:numId="4">
    <w:abstractNumId w:val="0"/>
  </w:num>
  <w:num w:numId="5">
    <w:abstractNumId w:val="38"/>
  </w:num>
  <w:num w:numId="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0"/>
  </w:num>
  <w:num w:numId="8">
    <w:abstractNumId w:val="1"/>
  </w:num>
  <w:num w:numId="9">
    <w:abstractNumId w:val="34"/>
  </w:num>
  <w:num w:numId="10">
    <w:abstractNumId w:val="13"/>
  </w:num>
  <w:num w:numId="11">
    <w:abstractNumId w:val="25"/>
  </w:num>
  <w:num w:numId="12">
    <w:abstractNumId w:val="6"/>
  </w:num>
  <w:num w:numId="13">
    <w:abstractNumId w:val="41"/>
  </w:num>
  <w:num w:numId="14">
    <w:abstractNumId w:val="26"/>
  </w:num>
  <w:num w:numId="15">
    <w:abstractNumId w:val="39"/>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28"/>
  </w:num>
  <w:num w:numId="19">
    <w:abstractNumId w:val="16"/>
  </w:num>
  <w:num w:numId="20">
    <w:abstractNumId w:val="14"/>
  </w:num>
  <w:num w:numId="21">
    <w:abstractNumId w:val="3"/>
  </w:num>
  <w:num w:numId="22">
    <w:abstractNumId w:val="22"/>
  </w:num>
  <w:num w:numId="23">
    <w:abstractNumId w:val="21"/>
  </w:num>
  <w:num w:numId="24">
    <w:abstractNumId w:val="20"/>
  </w:num>
  <w:num w:numId="25">
    <w:abstractNumId w:val="9"/>
  </w:num>
  <w:num w:numId="26">
    <w:abstractNumId w:val="10"/>
  </w:num>
  <w:num w:numId="27">
    <w:abstractNumId w:val="8"/>
  </w:num>
  <w:num w:numId="28">
    <w:abstractNumId w:val="18"/>
  </w:num>
  <w:num w:numId="29">
    <w:abstractNumId w:val="32"/>
  </w:num>
  <w:num w:numId="30">
    <w:abstractNumId w:val="19"/>
  </w:num>
  <w:num w:numId="31">
    <w:abstractNumId w:val="30"/>
  </w:num>
  <w:num w:numId="32">
    <w:abstractNumId w:val="7"/>
  </w:num>
  <w:num w:numId="33">
    <w:abstractNumId w:val="29"/>
  </w:num>
  <w:num w:numId="34">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num>
  <w:num w:numId="38">
    <w:abstractNumId w:val="23"/>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27"/>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3D4"/>
    <w:rsid w:val="000001B7"/>
    <w:rsid w:val="00010637"/>
    <w:rsid w:val="00020403"/>
    <w:rsid w:val="000256A8"/>
    <w:rsid w:val="00030EA2"/>
    <w:rsid w:val="000343FC"/>
    <w:rsid w:val="00035012"/>
    <w:rsid w:val="00040277"/>
    <w:rsid w:val="00040A12"/>
    <w:rsid w:val="0004256A"/>
    <w:rsid w:val="00045575"/>
    <w:rsid w:val="00047043"/>
    <w:rsid w:val="00065F8C"/>
    <w:rsid w:val="00070E5D"/>
    <w:rsid w:val="00073232"/>
    <w:rsid w:val="000765AB"/>
    <w:rsid w:val="00076960"/>
    <w:rsid w:val="000913AB"/>
    <w:rsid w:val="0009263C"/>
    <w:rsid w:val="00095A1B"/>
    <w:rsid w:val="000966BC"/>
    <w:rsid w:val="000A4DBA"/>
    <w:rsid w:val="000A78B7"/>
    <w:rsid w:val="000B5EE9"/>
    <w:rsid w:val="000B62E6"/>
    <w:rsid w:val="000C7023"/>
    <w:rsid w:val="000C7D53"/>
    <w:rsid w:val="000D6392"/>
    <w:rsid w:val="000E07E8"/>
    <w:rsid w:val="000E77AD"/>
    <w:rsid w:val="000F3FD0"/>
    <w:rsid w:val="000F7DC0"/>
    <w:rsid w:val="001033E3"/>
    <w:rsid w:val="00104F73"/>
    <w:rsid w:val="001070A6"/>
    <w:rsid w:val="00107457"/>
    <w:rsid w:val="00113194"/>
    <w:rsid w:val="00113B09"/>
    <w:rsid w:val="00125576"/>
    <w:rsid w:val="00127E92"/>
    <w:rsid w:val="00131620"/>
    <w:rsid w:val="001344D4"/>
    <w:rsid w:val="001359C1"/>
    <w:rsid w:val="0014091E"/>
    <w:rsid w:val="00146428"/>
    <w:rsid w:val="001560BE"/>
    <w:rsid w:val="0016241A"/>
    <w:rsid w:val="00163CA3"/>
    <w:rsid w:val="00164D0D"/>
    <w:rsid w:val="00186619"/>
    <w:rsid w:val="00187D6F"/>
    <w:rsid w:val="00187F0D"/>
    <w:rsid w:val="001922C6"/>
    <w:rsid w:val="00193033"/>
    <w:rsid w:val="00194AD5"/>
    <w:rsid w:val="00195F90"/>
    <w:rsid w:val="001A10E6"/>
    <w:rsid w:val="001A5DCB"/>
    <w:rsid w:val="001C4DFA"/>
    <w:rsid w:val="001C576E"/>
    <w:rsid w:val="001C5D2B"/>
    <w:rsid w:val="001C6FAC"/>
    <w:rsid w:val="001D606D"/>
    <w:rsid w:val="001D7A28"/>
    <w:rsid w:val="001E0DDD"/>
    <w:rsid w:val="001E26FD"/>
    <w:rsid w:val="001E6E7E"/>
    <w:rsid w:val="001F00BB"/>
    <w:rsid w:val="002056FC"/>
    <w:rsid w:val="00212C73"/>
    <w:rsid w:val="00217553"/>
    <w:rsid w:val="00217583"/>
    <w:rsid w:val="00217AB4"/>
    <w:rsid w:val="002206F8"/>
    <w:rsid w:val="002218C7"/>
    <w:rsid w:val="0023042A"/>
    <w:rsid w:val="00231A20"/>
    <w:rsid w:val="00232884"/>
    <w:rsid w:val="00233FDF"/>
    <w:rsid w:val="0023752D"/>
    <w:rsid w:val="002400A2"/>
    <w:rsid w:val="00241816"/>
    <w:rsid w:val="00251E4E"/>
    <w:rsid w:val="002702BF"/>
    <w:rsid w:val="00270302"/>
    <w:rsid w:val="00273195"/>
    <w:rsid w:val="00277305"/>
    <w:rsid w:val="0028418F"/>
    <w:rsid w:val="00285B43"/>
    <w:rsid w:val="00292710"/>
    <w:rsid w:val="00293B0D"/>
    <w:rsid w:val="00295C14"/>
    <w:rsid w:val="00296BB1"/>
    <w:rsid w:val="00297B35"/>
    <w:rsid w:val="002B7032"/>
    <w:rsid w:val="002B7979"/>
    <w:rsid w:val="002C0CB4"/>
    <w:rsid w:val="002C4944"/>
    <w:rsid w:val="002D0134"/>
    <w:rsid w:val="002D215B"/>
    <w:rsid w:val="002E703B"/>
    <w:rsid w:val="002E76D7"/>
    <w:rsid w:val="002F3EBC"/>
    <w:rsid w:val="00303E9E"/>
    <w:rsid w:val="00310A63"/>
    <w:rsid w:val="003177FC"/>
    <w:rsid w:val="00317C11"/>
    <w:rsid w:val="003222B0"/>
    <w:rsid w:val="00326B99"/>
    <w:rsid w:val="003301E0"/>
    <w:rsid w:val="003337F2"/>
    <w:rsid w:val="003365DD"/>
    <w:rsid w:val="0033768C"/>
    <w:rsid w:val="0034217B"/>
    <w:rsid w:val="00353CD1"/>
    <w:rsid w:val="003652F1"/>
    <w:rsid w:val="00367187"/>
    <w:rsid w:val="00373814"/>
    <w:rsid w:val="00377A2F"/>
    <w:rsid w:val="00381219"/>
    <w:rsid w:val="00384358"/>
    <w:rsid w:val="003849B6"/>
    <w:rsid w:val="00387C33"/>
    <w:rsid w:val="00395DBC"/>
    <w:rsid w:val="0039773D"/>
    <w:rsid w:val="003979F5"/>
    <w:rsid w:val="00397CAA"/>
    <w:rsid w:val="003A02C6"/>
    <w:rsid w:val="003A205E"/>
    <w:rsid w:val="003A5071"/>
    <w:rsid w:val="003A6BFD"/>
    <w:rsid w:val="003A6FFF"/>
    <w:rsid w:val="003B5AF5"/>
    <w:rsid w:val="003C1601"/>
    <w:rsid w:val="003C41C7"/>
    <w:rsid w:val="003C41F9"/>
    <w:rsid w:val="003D22A6"/>
    <w:rsid w:val="003D466E"/>
    <w:rsid w:val="003D6077"/>
    <w:rsid w:val="003E3C9E"/>
    <w:rsid w:val="003F0CDE"/>
    <w:rsid w:val="003F26F3"/>
    <w:rsid w:val="003F5323"/>
    <w:rsid w:val="003F707B"/>
    <w:rsid w:val="00402BEE"/>
    <w:rsid w:val="00405F81"/>
    <w:rsid w:val="00406B5C"/>
    <w:rsid w:val="00407892"/>
    <w:rsid w:val="0041148E"/>
    <w:rsid w:val="00414610"/>
    <w:rsid w:val="00415B9C"/>
    <w:rsid w:val="004167C7"/>
    <w:rsid w:val="00420DD0"/>
    <w:rsid w:val="00421B3D"/>
    <w:rsid w:val="00425355"/>
    <w:rsid w:val="00426C6E"/>
    <w:rsid w:val="0043364A"/>
    <w:rsid w:val="00435227"/>
    <w:rsid w:val="004472FC"/>
    <w:rsid w:val="00450D2D"/>
    <w:rsid w:val="00453060"/>
    <w:rsid w:val="00462AE9"/>
    <w:rsid w:val="00462F57"/>
    <w:rsid w:val="00466776"/>
    <w:rsid w:val="00467049"/>
    <w:rsid w:val="00472278"/>
    <w:rsid w:val="00472FCE"/>
    <w:rsid w:val="0047501D"/>
    <w:rsid w:val="00475793"/>
    <w:rsid w:val="0048792D"/>
    <w:rsid w:val="00493127"/>
    <w:rsid w:val="00496764"/>
    <w:rsid w:val="00497487"/>
    <w:rsid w:val="004A0F00"/>
    <w:rsid w:val="004A32E4"/>
    <w:rsid w:val="004B06EC"/>
    <w:rsid w:val="004C155F"/>
    <w:rsid w:val="004C4EE8"/>
    <w:rsid w:val="004E0E54"/>
    <w:rsid w:val="004F43EA"/>
    <w:rsid w:val="004F63D4"/>
    <w:rsid w:val="00503B8E"/>
    <w:rsid w:val="005058F4"/>
    <w:rsid w:val="0051017E"/>
    <w:rsid w:val="00520C15"/>
    <w:rsid w:val="00532F55"/>
    <w:rsid w:val="00537716"/>
    <w:rsid w:val="00542A37"/>
    <w:rsid w:val="0054659C"/>
    <w:rsid w:val="00556759"/>
    <w:rsid w:val="00557B69"/>
    <w:rsid w:val="005644DF"/>
    <w:rsid w:val="0056731E"/>
    <w:rsid w:val="00571500"/>
    <w:rsid w:val="00572750"/>
    <w:rsid w:val="00582626"/>
    <w:rsid w:val="005A0D95"/>
    <w:rsid w:val="005A4CF2"/>
    <w:rsid w:val="005A6E61"/>
    <w:rsid w:val="005B240C"/>
    <w:rsid w:val="005C01B4"/>
    <w:rsid w:val="005C475D"/>
    <w:rsid w:val="005C6CB8"/>
    <w:rsid w:val="005D29F7"/>
    <w:rsid w:val="005E13F9"/>
    <w:rsid w:val="005E2CFF"/>
    <w:rsid w:val="005E3097"/>
    <w:rsid w:val="005E587C"/>
    <w:rsid w:val="005E5915"/>
    <w:rsid w:val="00607B97"/>
    <w:rsid w:val="00607D40"/>
    <w:rsid w:val="006159CD"/>
    <w:rsid w:val="00617775"/>
    <w:rsid w:val="006229BF"/>
    <w:rsid w:val="00627E32"/>
    <w:rsid w:val="006305D5"/>
    <w:rsid w:val="00631F37"/>
    <w:rsid w:val="00650407"/>
    <w:rsid w:val="00650C9A"/>
    <w:rsid w:val="00656343"/>
    <w:rsid w:val="006604AE"/>
    <w:rsid w:val="00673477"/>
    <w:rsid w:val="00673BB0"/>
    <w:rsid w:val="00682DD8"/>
    <w:rsid w:val="00684651"/>
    <w:rsid w:val="006853A9"/>
    <w:rsid w:val="00695319"/>
    <w:rsid w:val="006A3171"/>
    <w:rsid w:val="006A4721"/>
    <w:rsid w:val="006A4D96"/>
    <w:rsid w:val="006A6C57"/>
    <w:rsid w:val="006B3646"/>
    <w:rsid w:val="006B7679"/>
    <w:rsid w:val="006C1304"/>
    <w:rsid w:val="006C16D1"/>
    <w:rsid w:val="006C345F"/>
    <w:rsid w:val="006C72F8"/>
    <w:rsid w:val="006C77E6"/>
    <w:rsid w:val="006D7830"/>
    <w:rsid w:val="006E02AA"/>
    <w:rsid w:val="006E34B0"/>
    <w:rsid w:val="006F2277"/>
    <w:rsid w:val="006F25DB"/>
    <w:rsid w:val="007035AF"/>
    <w:rsid w:val="0071470B"/>
    <w:rsid w:val="00715F39"/>
    <w:rsid w:val="0071661C"/>
    <w:rsid w:val="00726441"/>
    <w:rsid w:val="00726B32"/>
    <w:rsid w:val="00734C3B"/>
    <w:rsid w:val="007353AE"/>
    <w:rsid w:val="0074322C"/>
    <w:rsid w:val="007477A4"/>
    <w:rsid w:val="00747F37"/>
    <w:rsid w:val="00753755"/>
    <w:rsid w:val="00757FD6"/>
    <w:rsid w:val="00762B04"/>
    <w:rsid w:val="00771656"/>
    <w:rsid w:val="00777EF5"/>
    <w:rsid w:val="00780E0B"/>
    <w:rsid w:val="007840E8"/>
    <w:rsid w:val="00792BFF"/>
    <w:rsid w:val="0079323B"/>
    <w:rsid w:val="007A1B63"/>
    <w:rsid w:val="007A3128"/>
    <w:rsid w:val="007A4957"/>
    <w:rsid w:val="007A50B9"/>
    <w:rsid w:val="007B4340"/>
    <w:rsid w:val="007B68E7"/>
    <w:rsid w:val="007C0C50"/>
    <w:rsid w:val="007C0C7F"/>
    <w:rsid w:val="007C33BE"/>
    <w:rsid w:val="007C53DF"/>
    <w:rsid w:val="007C7CD1"/>
    <w:rsid w:val="007D261E"/>
    <w:rsid w:val="007D2BA5"/>
    <w:rsid w:val="007D7A32"/>
    <w:rsid w:val="007E29C1"/>
    <w:rsid w:val="007E5A58"/>
    <w:rsid w:val="007E7734"/>
    <w:rsid w:val="007F260A"/>
    <w:rsid w:val="007F2E13"/>
    <w:rsid w:val="00800824"/>
    <w:rsid w:val="008036A1"/>
    <w:rsid w:val="00810E00"/>
    <w:rsid w:val="00817936"/>
    <w:rsid w:val="00824A63"/>
    <w:rsid w:val="00824EB2"/>
    <w:rsid w:val="00827B15"/>
    <w:rsid w:val="0083159D"/>
    <w:rsid w:val="00831A0B"/>
    <w:rsid w:val="0083325B"/>
    <w:rsid w:val="008409DA"/>
    <w:rsid w:val="008421DE"/>
    <w:rsid w:val="00846545"/>
    <w:rsid w:val="008514BE"/>
    <w:rsid w:val="00856739"/>
    <w:rsid w:val="0086499D"/>
    <w:rsid w:val="00870457"/>
    <w:rsid w:val="00872A2A"/>
    <w:rsid w:val="008743FC"/>
    <w:rsid w:val="00875897"/>
    <w:rsid w:val="00884E15"/>
    <w:rsid w:val="00890896"/>
    <w:rsid w:val="008926CF"/>
    <w:rsid w:val="00895BB5"/>
    <w:rsid w:val="008C20BB"/>
    <w:rsid w:val="008C72A6"/>
    <w:rsid w:val="008D05E8"/>
    <w:rsid w:val="008D4E41"/>
    <w:rsid w:val="008E052B"/>
    <w:rsid w:val="008E65C0"/>
    <w:rsid w:val="008E698C"/>
    <w:rsid w:val="008F1537"/>
    <w:rsid w:val="008F221F"/>
    <w:rsid w:val="00912BB2"/>
    <w:rsid w:val="0091438E"/>
    <w:rsid w:val="00916EF3"/>
    <w:rsid w:val="00923C13"/>
    <w:rsid w:val="009256DE"/>
    <w:rsid w:val="0094065B"/>
    <w:rsid w:val="00940D33"/>
    <w:rsid w:val="00950FD3"/>
    <w:rsid w:val="00955019"/>
    <w:rsid w:val="00960054"/>
    <w:rsid w:val="0096101E"/>
    <w:rsid w:val="009624C1"/>
    <w:rsid w:val="009652F4"/>
    <w:rsid w:val="0097396F"/>
    <w:rsid w:val="00975461"/>
    <w:rsid w:val="009760BC"/>
    <w:rsid w:val="009A05A3"/>
    <w:rsid w:val="009A0772"/>
    <w:rsid w:val="009A2E00"/>
    <w:rsid w:val="009B584C"/>
    <w:rsid w:val="009C07B1"/>
    <w:rsid w:val="009C23F1"/>
    <w:rsid w:val="009C56E6"/>
    <w:rsid w:val="009C571B"/>
    <w:rsid w:val="009D19E1"/>
    <w:rsid w:val="009D3A24"/>
    <w:rsid w:val="009D453C"/>
    <w:rsid w:val="009D6054"/>
    <w:rsid w:val="009D6D59"/>
    <w:rsid w:val="009D7E61"/>
    <w:rsid w:val="009F4C83"/>
    <w:rsid w:val="00A00AB2"/>
    <w:rsid w:val="00A01235"/>
    <w:rsid w:val="00A01F5A"/>
    <w:rsid w:val="00A10C3E"/>
    <w:rsid w:val="00A21CD8"/>
    <w:rsid w:val="00A24970"/>
    <w:rsid w:val="00A51A4D"/>
    <w:rsid w:val="00A555D6"/>
    <w:rsid w:val="00A55C14"/>
    <w:rsid w:val="00A63D5B"/>
    <w:rsid w:val="00A640AD"/>
    <w:rsid w:val="00A652A3"/>
    <w:rsid w:val="00A759FE"/>
    <w:rsid w:val="00A82786"/>
    <w:rsid w:val="00A8731F"/>
    <w:rsid w:val="00AA6997"/>
    <w:rsid w:val="00AB5B90"/>
    <w:rsid w:val="00AC08FC"/>
    <w:rsid w:val="00AC0FEA"/>
    <w:rsid w:val="00AC2C93"/>
    <w:rsid w:val="00AC452B"/>
    <w:rsid w:val="00AC7E06"/>
    <w:rsid w:val="00AD72DB"/>
    <w:rsid w:val="00AE266B"/>
    <w:rsid w:val="00AE404B"/>
    <w:rsid w:val="00AE4DD0"/>
    <w:rsid w:val="00AE4E48"/>
    <w:rsid w:val="00B016EA"/>
    <w:rsid w:val="00B0365D"/>
    <w:rsid w:val="00B03F4E"/>
    <w:rsid w:val="00B0548E"/>
    <w:rsid w:val="00B12079"/>
    <w:rsid w:val="00B1497D"/>
    <w:rsid w:val="00B16478"/>
    <w:rsid w:val="00B24331"/>
    <w:rsid w:val="00B24E7D"/>
    <w:rsid w:val="00B27EEB"/>
    <w:rsid w:val="00B32C89"/>
    <w:rsid w:val="00B448A6"/>
    <w:rsid w:val="00B61DB3"/>
    <w:rsid w:val="00B71141"/>
    <w:rsid w:val="00B86B96"/>
    <w:rsid w:val="00B90CCC"/>
    <w:rsid w:val="00B91A93"/>
    <w:rsid w:val="00BA2915"/>
    <w:rsid w:val="00BA7063"/>
    <w:rsid w:val="00BB6E00"/>
    <w:rsid w:val="00BC6FC5"/>
    <w:rsid w:val="00BC7245"/>
    <w:rsid w:val="00BD775E"/>
    <w:rsid w:val="00BE0ADA"/>
    <w:rsid w:val="00BE35A0"/>
    <w:rsid w:val="00BE3836"/>
    <w:rsid w:val="00BF6291"/>
    <w:rsid w:val="00C00B39"/>
    <w:rsid w:val="00C0171B"/>
    <w:rsid w:val="00C0281E"/>
    <w:rsid w:val="00C03337"/>
    <w:rsid w:val="00C03791"/>
    <w:rsid w:val="00C079FA"/>
    <w:rsid w:val="00C07AC7"/>
    <w:rsid w:val="00C14449"/>
    <w:rsid w:val="00C163A2"/>
    <w:rsid w:val="00C205AF"/>
    <w:rsid w:val="00C2138A"/>
    <w:rsid w:val="00C3156E"/>
    <w:rsid w:val="00C42E05"/>
    <w:rsid w:val="00C446D8"/>
    <w:rsid w:val="00C5451F"/>
    <w:rsid w:val="00C67EBA"/>
    <w:rsid w:val="00C71C38"/>
    <w:rsid w:val="00C75640"/>
    <w:rsid w:val="00C759CC"/>
    <w:rsid w:val="00C853E5"/>
    <w:rsid w:val="00C903D4"/>
    <w:rsid w:val="00C91C30"/>
    <w:rsid w:val="00C93337"/>
    <w:rsid w:val="00C959B1"/>
    <w:rsid w:val="00CB0C04"/>
    <w:rsid w:val="00CB274D"/>
    <w:rsid w:val="00CB39B9"/>
    <w:rsid w:val="00CB6AA9"/>
    <w:rsid w:val="00CC061A"/>
    <w:rsid w:val="00CC0D27"/>
    <w:rsid w:val="00CD097A"/>
    <w:rsid w:val="00CD36AE"/>
    <w:rsid w:val="00CD6C4E"/>
    <w:rsid w:val="00CE09D7"/>
    <w:rsid w:val="00CE154E"/>
    <w:rsid w:val="00CE5728"/>
    <w:rsid w:val="00D00D43"/>
    <w:rsid w:val="00D02EA3"/>
    <w:rsid w:val="00D04B27"/>
    <w:rsid w:val="00D04D28"/>
    <w:rsid w:val="00D04F2C"/>
    <w:rsid w:val="00D075E5"/>
    <w:rsid w:val="00D201A5"/>
    <w:rsid w:val="00D275FB"/>
    <w:rsid w:val="00D27E62"/>
    <w:rsid w:val="00D33441"/>
    <w:rsid w:val="00D35F02"/>
    <w:rsid w:val="00D415F9"/>
    <w:rsid w:val="00D42B55"/>
    <w:rsid w:val="00D46ECB"/>
    <w:rsid w:val="00D50E90"/>
    <w:rsid w:val="00D515D6"/>
    <w:rsid w:val="00D527A7"/>
    <w:rsid w:val="00D550D3"/>
    <w:rsid w:val="00D556E7"/>
    <w:rsid w:val="00D56390"/>
    <w:rsid w:val="00D56833"/>
    <w:rsid w:val="00D6162B"/>
    <w:rsid w:val="00D7144A"/>
    <w:rsid w:val="00D8604E"/>
    <w:rsid w:val="00D92A8F"/>
    <w:rsid w:val="00D95753"/>
    <w:rsid w:val="00DA2445"/>
    <w:rsid w:val="00DA3612"/>
    <w:rsid w:val="00DA5741"/>
    <w:rsid w:val="00DB5F8B"/>
    <w:rsid w:val="00DB65B3"/>
    <w:rsid w:val="00DC06EF"/>
    <w:rsid w:val="00DC68AC"/>
    <w:rsid w:val="00DD041D"/>
    <w:rsid w:val="00DE5575"/>
    <w:rsid w:val="00DF7F83"/>
    <w:rsid w:val="00E03E96"/>
    <w:rsid w:val="00E135AA"/>
    <w:rsid w:val="00E14121"/>
    <w:rsid w:val="00E149EB"/>
    <w:rsid w:val="00E15C43"/>
    <w:rsid w:val="00E16212"/>
    <w:rsid w:val="00E26280"/>
    <w:rsid w:val="00E32BD1"/>
    <w:rsid w:val="00E35286"/>
    <w:rsid w:val="00E35977"/>
    <w:rsid w:val="00E37309"/>
    <w:rsid w:val="00E4112F"/>
    <w:rsid w:val="00E421FA"/>
    <w:rsid w:val="00E436D0"/>
    <w:rsid w:val="00E43A9A"/>
    <w:rsid w:val="00E44FBA"/>
    <w:rsid w:val="00E4797C"/>
    <w:rsid w:val="00E5606C"/>
    <w:rsid w:val="00E56C47"/>
    <w:rsid w:val="00E62311"/>
    <w:rsid w:val="00E7071D"/>
    <w:rsid w:val="00E83197"/>
    <w:rsid w:val="00E84A44"/>
    <w:rsid w:val="00E84B51"/>
    <w:rsid w:val="00EB1D9E"/>
    <w:rsid w:val="00EB45EF"/>
    <w:rsid w:val="00EB77D2"/>
    <w:rsid w:val="00EC3B92"/>
    <w:rsid w:val="00ED2665"/>
    <w:rsid w:val="00ED2C01"/>
    <w:rsid w:val="00ED3E59"/>
    <w:rsid w:val="00ED563A"/>
    <w:rsid w:val="00EE3266"/>
    <w:rsid w:val="00EE3C1C"/>
    <w:rsid w:val="00EE45B3"/>
    <w:rsid w:val="00EE4A19"/>
    <w:rsid w:val="00EF29E3"/>
    <w:rsid w:val="00EF4621"/>
    <w:rsid w:val="00EF5BFA"/>
    <w:rsid w:val="00F02E3E"/>
    <w:rsid w:val="00F226DA"/>
    <w:rsid w:val="00F37480"/>
    <w:rsid w:val="00F47C50"/>
    <w:rsid w:val="00F5061F"/>
    <w:rsid w:val="00F55741"/>
    <w:rsid w:val="00F60EAA"/>
    <w:rsid w:val="00F70391"/>
    <w:rsid w:val="00F71E93"/>
    <w:rsid w:val="00F772C3"/>
    <w:rsid w:val="00F9073F"/>
    <w:rsid w:val="00F94AD6"/>
    <w:rsid w:val="00FA0D32"/>
    <w:rsid w:val="00FA456D"/>
    <w:rsid w:val="00FA706C"/>
    <w:rsid w:val="00FB5407"/>
    <w:rsid w:val="00FB62F2"/>
    <w:rsid w:val="00FB7775"/>
    <w:rsid w:val="00FC1FC2"/>
    <w:rsid w:val="00FC2EB6"/>
    <w:rsid w:val="00FD443D"/>
    <w:rsid w:val="00FD7045"/>
    <w:rsid w:val="00FE4458"/>
    <w:rsid w:val="00FF3AA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docId w15:val="{306F3A8C-65C8-4CCB-9880-247A28499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0D95"/>
  </w:style>
  <w:style w:type="paragraph" w:styleId="Titre1">
    <w:name w:val="heading 1"/>
    <w:basedOn w:val="Normal"/>
    <w:next w:val="Normal"/>
    <w:link w:val="Titre1Car"/>
    <w:uiPriority w:val="9"/>
    <w:qFormat/>
    <w:rsid w:val="00EE45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semiHidden/>
    <w:unhideWhenUsed/>
    <w:qFormat/>
    <w:rsid w:val="00070E5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itre3">
    <w:name w:val="heading 3"/>
    <w:basedOn w:val="Normal"/>
    <w:next w:val="Normal"/>
    <w:link w:val="Titre3Car"/>
    <w:qFormat/>
    <w:rsid w:val="000343FC"/>
    <w:pPr>
      <w:keepNext/>
      <w:spacing w:after="0" w:line="360" w:lineRule="auto"/>
      <w:ind w:right="1283"/>
      <w:jc w:val="both"/>
      <w:outlineLvl w:val="2"/>
    </w:pPr>
    <w:rPr>
      <w:rFonts w:ascii="Times New Roman" w:eastAsia="Times New Roman" w:hAnsi="Times New Roman" w:cs="Times New Roman"/>
      <w:sz w:val="24"/>
      <w:szCs w:val="20"/>
      <w:lang w:eastAsia="fr-FR"/>
    </w:rPr>
  </w:style>
  <w:style w:type="paragraph" w:styleId="Titre4">
    <w:name w:val="heading 4"/>
    <w:basedOn w:val="Normal"/>
    <w:next w:val="Normal"/>
    <w:link w:val="Titre4Car"/>
    <w:uiPriority w:val="9"/>
    <w:semiHidden/>
    <w:unhideWhenUsed/>
    <w:qFormat/>
    <w:rsid w:val="001359C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A5741"/>
    <w:pPr>
      <w:ind w:left="720"/>
      <w:contextualSpacing/>
    </w:pPr>
  </w:style>
  <w:style w:type="paragraph" w:customStyle="1" w:styleId="Styleparde9faut">
    <w:name w:val="Style par dée9faut"/>
    <w:rsid w:val="00BA7063"/>
    <w:pPr>
      <w:widowControl w:val="0"/>
      <w:autoSpaceDE w:val="0"/>
      <w:autoSpaceDN w:val="0"/>
      <w:adjustRightInd w:val="0"/>
      <w:spacing w:after="0" w:line="240" w:lineRule="auto"/>
    </w:pPr>
    <w:rPr>
      <w:rFonts w:ascii="Times New Roman" w:eastAsiaTheme="minorEastAsia" w:hAnsi="Times New Roman" w:cs="Times New Roman"/>
      <w:kern w:val="1"/>
      <w:sz w:val="24"/>
      <w:szCs w:val="24"/>
      <w:lang w:eastAsia="zh-CN" w:bidi="hi-IN"/>
    </w:rPr>
  </w:style>
  <w:style w:type="paragraph" w:styleId="Textedebulles">
    <w:name w:val="Balloon Text"/>
    <w:basedOn w:val="Normal"/>
    <w:link w:val="TextedebullesCar"/>
    <w:uiPriority w:val="99"/>
    <w:semiHidden/>
    <w:unhideWhenUsed/>
    <w:rsid w:val="00BA706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A7063"/>
    <w:rPr>
      <w:rFonts w:ascii="Tahoma" w:hAnsi="Tahoma" w:cs="Tahoma"/>
      <w:sz w:val="16"/>
      <w:szCs w:val="16"/>
    </w:rPr>
  </w:style>
  <w:style w:type="character" w:styleId="Lienhypertexte">
    <w:name w:val="Hyperlink"/>
    <w:basedOn w:val="Policepardfaut"/>
    <w:uiPriority w:val="99"/>
    <w:unhideWhenUsed/>
    <w:rsid w:val="00503B8E"/>
    <w:rPr>
      <w:color w:val="0000FF" w:themeColor="hyperlink"/>
      <w:u w:val="single"/>
    </w:rPr>
  </w:style>
  <w:style w:type="character" w:styleId="Lienhypertextesuivivisit">
    <w:name w:val="FollowedHyperlink"/>
    <w:basedOn w:val="Policepardfaut"/>
    <w:uiPriority w:val="99"/>
    <w:semiHidden/>
    <w:unhideWhenUsed/>
    <w:rsid w:val="009624C1"/>
    <w:rPr>
      <w:color w:val="800080" w:themeColor="followedHyperlink"/>
      <w:u w:val="single"/>
    </w:rPr>
  </w:style>
  <w:style w:type="paragraph" w:styleId="En-tte">
    <w:name w:val="header"/>
    <w:basedOn w:val="Normal"/>
    <w:link w:val="En-tteCar"/>
    <w:uiPriority w:val="99"/>
    <w:unhideWhenUsed/>
    <w:rsid w:val="00650C9A"/>
    <w:pPr>
      <w:tabs>
        <w:tab w:val="center" w:pos="4536"/>
        <w:tab w:val="right" w:pos="9072"/>
      </w:tabs>
      <w:spacing w:after="0" w:line="240" w:lineRule="auto"/>
    </w:pPr>
  </w:style>
  <w:style w:type="character" w:customStyle="1" w:styleId="En-tteCar">
    <w:name w:val="En-tête Car"/>
    <w:basedOn w:val="Policepardfaut"/>
    <w:link w:val="En-tte"/>
    <w:uiPriority w:val="99"/>
    <w:rsid w:val="00650C9A"/>
  </w:style>
  <w:style w:type="paragraph" w:styleId="Pieddepage">
    <w:name w:val="footer"/>
    <w:basedOn w:val="Normal"/>
    <w:link w:val="PieddepageCar"/>
    <w:unhideWhenUsed/>
    <w:rsid w:val="00650C9A"/>
    <w:pPr>
      <w:tabs>
        <w:tab w:val="center" w:pos="4536"/>
        <w:tab w:val="right" w:pos="9072"/>
      </w:tabs>
      <w:spacing w:after="0" w:line="240" w:lineRule="auto"/>
    </w:pPr>
  </w:style>
  <w:style w:type="character" w:customStyle="1" w:styleId="PieddepageCar">
    <w:name w:val="Pied de page Car"/>
    <w:basedOn w:val="Policepardfaut"/>
    <w:link w:val="Pieddepage"/>
    <w:rsid w:val="00650C9A"/>
  </w:style>
  <w:style w:type="paragraph" w:customStyle="1" w:styleId="Default">
    <w:name w:val="Default"/>
    <w:rsid w:val="00F226DA"/>
    <w:pPr>
      <w:autoSpaceDE w:val="0"/>
      <w:autoSpaceDN w:val="0"/>
      <w:adjustRightInd w:val="0"/>
      <w:spacing w:after="0" w:line="240" w:lineRule="auto"/>
    </w:pPr>
    <w:rPr>
      <w:rFonts w:ascii="Garamond" w:hAnsi="Garamond" w:cs="Garamond"/>
      <w:color w:val="000000"/>
      <w:sz w:val="24"/>
      <w:szCs w:val="24"/>
    </w:rPr>
  </w:style>
  <w:style w:type="character" w:customStyle="1" w:styleId="Titre3Car">
    <w:name w:val="Titre 3 Car"/>
    <w:basedOn w:val="Policepardfaut"/>
    <w:link w:val="Titre3"/>
    <w:rsid w:val="000343FC"/>
    <w:rPr>
      <w:rFonts w:ascii="Times New Roman" w:eastAsia="Times New Roman" w:hAnsi="Times New Roman" w:cs="Times New Roman"/>
      <w:sz w:val="24"/>
      <w:szCs w:val="20"/>
      <w:lang w:eastAsia="fr-FR"/>
    </w:rPr>
  </w:style>
  <w:style w:type="character" w:styleId="Accentuation">
    <w:name w:val="Emphasis"/>
    <w:basedOn w:val="Policepardfaut"/>
    <w:uiPriority w:val="20"/>
    <w:qFormat/>
    <w:rsid w:val="00762B04"/>
    <w:rPr>
      <w:b/>
      <w:bCs/>
      <w:i w:val="0"/>
      <w:iCs w:val="0"/>
    </w:rPr>
  </w:style>
  <w:style w:type="paragraph" w:styleId="Corpsdetexte3">
    <w:name w:val="Body Text 3"/>
    <w:basedOn w:val="Normal"/>
    <w:link w:val="Corpsdetexte3Car"/>
    <w:rsid w:val="0054659C"/>
    <w:pPr>
      <w:spacing w:after="120" w:line="240" w:lineRule="auto"/>
    </w:pPr>
    <w:rPr>
      <w:rFonts w:ascii="Times New Roman" w:eastAsia="SimSun" w:hAnsi="Times New Roman" w:cs="Times New Roman"/>
      <w:sz w:val="16"/>
      <w:szCs w:val="16"/>
      <w:lang w:eastAsia="zh-CN"/>
    </w:rPr>
  </w:style>
  <w:style w:type="character" w:customStyle="1" w:styleId="Corpsdetexte3Car">
    <w:name w:val="Corps de texte 3 Car"/>
    <w:basedOn w:val="Policepardfaut"/>
    <w:link w:val="Corpsdetexte3"/>
    <w:rsid w:val="0054659C"/>
    <w:rPr>
      <w:rFonts w:ascii="Times New Roman" w:eastAsia="SimSun" w:hAnsi="Times New Roman" w:cs="Times New Roman"/>
      <w:sz w:val="16"/>
      <w:szCs w:val="16"/>
      <w:lang w:eastAsia="zh-CN"/>
    </w:rPr>
  </w:style>
  <w:style w:type="paragraph" w:styleId="NormalWeb">
    <w:name w:val="Normal (Web)"/>
    <w:basedOn w:val="Normal"/>
    <w:uiPriority w:val="99"/>
    <w:unhideWhenUsed/>
    <w:rsid w:val="00E135AA"/>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ecxmsonormal">
    <w:name w:val="ecxmsonormal"/>
    <w:basedOn w:val="Normal"/>
    <w:uiPriority w:val="99"/>
    <w:rsid w:val="001033E3"/>
    <w:pPr>
      <w:spacing w:after="324" w:line="240" w:lineRule="auto"/>
    </w:pPr>
    <w:rPr>
      <w:rFonts w:ascii="Times New Roman" w:eastAsia="Calibri" w:hAnsi="Times New Roman" w:cs="Times New Roman"/>
      <w:sz w:val="24"/>
      <w:szCs w:val="24"/>
      <w:lang w:eastAsia="fr-FR"/>
    </w:rPr>
  </w:style>
  <w:style w:type="character" w:customStyle="1" w:styleId="hps">
    <w:name w:val="hps"/>
    <w:basedOn w:val="Policepardfaut"/>
    <w:rsid w:val="001033E3"/>
  </w:style>
  <w:style w:type="character" w:customStyle="1" w:styleId="Titre1Car">
    <w:name w:val="Titre 1 Car"/>
    <w:basedOn w:val="Policepardfaut"/>
    <w:link w:val="Titre1"/>
    <w:uiPriority w:val="9"/>
    <w:rsid w:val="00EE45B3"/>
    <w:rPr>
      <w:rFonts w:asciiTheme="majorHAnsi" w:eastAsiaTheme="majorEastAsia" w:hAnsiTheme="majorHAnsi" w:cstheme="majorBidi"/>
      <w:b/>
      <w:bCs/>
      <w:color w:val="365F91" w:themeColor="accent1" w:themeShade="BF"/>
      <w:sz w:val="28"/>
      <w:szCs w:val="28"/>
    </w:rPr>
  </w:style>
  <w:style w:type="paragraph" w:styleId="Textebrut">
    <w:name w:val="Plain Text"/>
    <w:basedOn w:val="Normal"/>
    <w:link w:val="TextebrutCar"/>
    <w:uiPriority w:val="99"/>
    <w:unhideWhenUsed/>
    <w:rsid w:val="00EE45B3"/>
    <w:pPr>
      <w:spacing w:after="0" w:line="240" w:lineRule="auto"/>
    </w:pPr>
    <w:rPr>
      <w:rFonts w:ascii="Consolas" w:eastAsia="Calibri" w:hAnsi="Consolas" w:cs="Times New Roman"/>
      <w:sz w:val="21"/>
      <w:szCs w:val="21"/>
    </w:rPr>
  </w:style>
  <w:style w:type="character" w:customStyle="1" w:styleId="TextebrutCar">
    <w:name w:val="Texte brut Car"/>
    <w:basedOn w:val="Policepardfaut"/>
    <w:link w:val="Textebrut"/>
    <w:uiPriority w:val="99"/>
    <w:rsid w:val="00EE45B3"/>
    <w:rPr>
      <w:rFonts w:ascii="Consolas" w:eastAsia="Calibri" w:hAnsi="Consolas" w:cs="Times New Roman"/>
      <w:sz w:val="21"/>
      <w:szCs w:val="21"/>
    </w:rPr>
  </w:style>
  <w:style w:type="paragraph" w:styleId="Sous-titre">
    <w:name w:val="Subtitle"/>
    <w:next w:val="Corps"/>
    <w:link w:val="Sous-titreCar"/>
    <w:rsid w:val="00E149EB"/>
    <w:pPr>
      <w:pBdr>
        <w:top w:val="nil"/>
        <w:left w:val="nil"/>
        <w:bottom w:val="nil"/>
        <w:right w:val="nil"/>
        <w:between w:val="nil"/>
        <w:bar w:val="nil"/>
      </w:pBdr>
      <w:spacing w:after="0" w:line="240" w:lineRule="auto"/>
    </w:pPr>
    <w:rPr>
      <w:rFonts w:ascii="Arial Unicode MS" w:eastAsia="Arial Unicode MS" w:hAnsi="Helvetica" w:cs="Arial Unicode MS"/>
      <w:color w:val="000000"/>
      <w:sz w:val="40"/>
      <w:szCs w:val="40"/>
      <w:bdr w:val="nil"/>
      <w:lang w:eastAsia="fr-FR"/>
    </w:rPr>
  </w:style>
  <w:style w:type="character" w:customStyle="1" w:styleId="Sous-titreCar">
    <w:name w:val="Sous-titre Car"/>
    <w:basedOn w:val="Policepardfaut"/>
    <w:link w:val="Sous-titre"/>
    <w:rsid w:val="00E149EB"/>
    <w:rPr>
      <w:rFonts w:ascii="Arial Unicode MS" w:eastAsia="Arial Unicode MS" w:hAnsi="Helvetica" w:cs="Arial Unicode MS"/>
      <w:color w:val="000000"/>
      <w:sz w:val="40"/>
      <w:szCs w:val="40"/>
      <w:bdr w:val="nil"/>
      <w:lang w:eastAsia="fr-FR"/>
    </w:rPr>
  </w:style>
  <w:style w:type="paragraph" w:customStyle="1" w:styleId="Corps">
    <w:name w:val="Corps"/>
    <w:rsid w:val="00E149EB"/>
    <w:pPr>
      <w:pBdr>
        <w:top w:val="nil"/>
        <w:left w:val="nil"/>
        <w:bottom w:val="nil"/>
        <w:right w:val="nil"/>
        <w:between w:val="nil"/>
        <w:bar w:val="nil"/>
      </w:pBdr>
      <w:spacing w:after="0" w:line="240" w:lineRule="auto"/>
      <w:jc w:val="both"/>
    </w:pPr>
    <w:rPr>
      <w:rFonts w:ascii="Arial Unicode MS" w:eastAsia="Arial Unicode MS" w:hAnsi="Helvetica" w:cs="Arial Unicode MS"/>
      <w:color w:val="000000"/>
      <w:bdr w:val="nil"/>
      <w:lang w:eastAsia="fr-FR"/>
    </w:rPr>
  </w:style>
  <w:style w:type="numbering" w:customStyle="1" w:styleId="List0">
    <w:name w:val="List 0"/>
    <w:basedOn w:val="Aucuneliste"/>
    <w:rsid w:val="00E149EB"/>
    <w:pPr>
      <w:numPr>
        <w:numId w:val="18"/>
      </w:numPr>
    </w:pPr>
  </w:style>
  <w:style w:type="paragraph" w:customStyle="1" w:styleId="Corpssansn">
    <w:name w:val="Corps sans n°"/>
    <w:basedOn w:val="Normal"/>
    <w:link w:val="CorpssansnCar"/>
    <w:qFormat/>
    <w:rsid w:val="00856739"/>
    <w:pPr>
      <w:autoSpaceDE w:val="0"/>
      <w:autoSpaceDN w:val="0"/>
      <w:adjustRightInd w:val="0"/>
      <w:spacing w:after="0" w:line="360" w:lineRule="auto"/>
      <w:ind w:firstLine="425"/>
      <w:jc w:val="both"/>
      <w:textAlignment w:val="baseline"/>
    </w:pPr>
    <w:rPr>
      <w:rFonts w:ascii="Times New Roman" w:eastAsia="Times New Roman" w:hAnsi="Times New Roman" w:cs="Times New Roman"/>
      <w:sz w:val="24"/>
      <w:szCs w:val="24"/>
    </w:rPr>
  </w:style>
  <w:style w:type="character" w:customStyle="1" w:styleId="CorpssansnCar">
    <w:name w:val="Corps sans n° Car"/>
    <w:link w:val="Corpssansn"/>
    <w:rsid w:val="00856739"/>
    <w:rPr>
      <w:rFonts w:ascii="Times New Roman" w:eastAsia="Times New Roman" w:hAnsi="Times New Roman" w:cs="Times New Roman"/>
      <w:sz w:val="24"/>
      <w:szCs w:val="24"/>
    </w:rPr>
  </w:style>
  <w:style w:type="table" w:styleId="Grilledutableau">
    <w:name w:val="Table Grid"/>
    <w:basedOn w:val="TableauNormal"/>
    <w:uiPriority w:val="59"/>
    <w:rsid w:val="00B91A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Policepardfaut"/>
    <w:rsid w:val="00FD443D"/>
  </w:style>
  <w:style w:type="character" w:customStyle="1" w:styleId="author">
    <w:name w:val="author"/>
    <w:basedOn w:val="Policepardfaut"/>
    <w:rsid w:val="00FD443D"/>
  </w:style>
  <w:style w:type="character" w:customStyle="1" w:styleId="a-color-secondary">
    <w:name w:val="a-color-secondary"/>
    <w:basedOn w:val="Policepardfaut"/>
    <w:rsid w:val="00FD443D"/>
  </w:style>
  <w:style w:type="character" w:customStyle="1" w:styleId="a-declarative">
    <w:name w:val="a-declarative"/>
    <w:basedOn w:val="Policepardfaut"/>
    <w:rsid w:val="00FD443D"/>
  </w:style>
  <w:style w:type="paragraph" w:customStyle="1" w:styleId="Blockquote">
    <w:name w:val="Blockquote"/>
    <w:basedOn w:val="Normal"/>
    <w:rsid w:val="00FD443D"/>
    <w:pPr>
      <w:spacing w:before="100" w:after="100" w:line="240" w:lineRule="auto"/>
      <w:ind w:left="360" w:right="360"/>
    </w:pPr>
    <w:rPr>
      <w:rFonts w:ascii="Times New Roman" w:eastAsia="Times New Roman" w:hAnsi="Times New Roman" w:cs="Times New Roman"/>
      <w:snapToGrid w:val="0"/>
      <w:sz w:val="24"/>
      <w:szCs w:val="20"/>
      <w:lang w:eastAsia="fr-FR"/>
    </w:rPr>
  </w:style>
  <w:style w:type="character" w:customStyle="1" w:styleId="Titre2Car">
    <w:name w:val="Titre 2 Car"/>
    <w:basedOn w:val="Policepardfaut"/>
    <w:link w:val="Titre2"/>
    <w:uiPriority w:val="9"/>
    <w:semiHidden/>
    <w:rsid w:val="00070E5D"/>
    <w:rPr>
      <w:rFonts w:asciiTheme="majorHAnsi" w:eastAsiaTheme="majorEastAsia" w:hAnsiTheme="majorHAnsi" w:cstheme="majorBidi"/>
      <w:color w:val="365F91" w:themeColor="accent1" w:themeShade="BF"/>
      <w:sz w:val="26"/>
      <w:szCs w:val="26"/>
    </w:rPr>
  </w:style>
  <w:style w:type="paragraph" w:styleId="Corpsdetexte">
    <w:name w:val="Body Text"/>
    <w:basedOn w:val="Normal"/>
    <w:link w:val="CorpsdetexteCar"/>
    <w:uiPriority w:val="99"/>
    <w:semiHidden/>
    <w:unhideWhenUsed/>
    <w:rsid w:val="00070E5D"/>
    <w:pPr>
      <w:spacing w:after="120"/>
    </w:pPr>
  </w:style>
  <w:style w:type="character" w:customStyle="1" w:styleId="CorpsdetexteCar">
    <w:name w:val="Corps de texte Car"/>
    <w:basedOn w:val="Policepardfaut"/>
    <w:link w:val="Corpsdetexte"/>
    <w:uiPriority w:val="99"/>
    <w:semiHidden/>
    <w:rsid w:val="00070E5D"/>
  </w:style>
  <w:style w:type="paragraph" w:styleId="Corpsdetexte2">
    <w:name w:val="Body Text 2"/>
    <w:basedOn w:val="Normal"/>
    <w:link w:val="Corpsdetexte2Car"/>
    <w:uiPriority w:val="99"/>
    <w:semiHidden/>
    <w:unhideWhenUsed/>
    <w:rsid w:val="00070E5D"/>
    <w:pPr>
      <w:spacing w:after="120" w:line="480" w:lineRule="auto"/>
    </w:pPr>
  </w:style>
  <w:style w:type="character" w:customStyle="1" w:styleId="Corpsdetexte2Car">
    <w:name w:val="Corps de texte 2 Car"/>
    <w:basedOn w:val="Policepardfaut"/>
    <w:link w:val="Corpsdetexte2"/>
    <w:uiPriority w:val="99"/>
    <w:semiHidden/>
    <w:rsid w:val="00070E5D"/>
  </w:style>
  <w:style w:type="paragraph" w:styleId="Notedebasdepage">
    <w:name w:val="footnote text"/>
    <w:basedOn w:val="Normal"/>
    <w:link w:val="NotedebasdepageCar"/>
    <w:uiPriority w:val="99"/>
    <w:rsid w:val="00070E5D"/>
    <w:pPr>
      <w:spacing w:after="120" w:line="360" w:lineRule="auto"/>
      <w:jc w:val="both"/>
    </w:pPr>
    <w:rPr>
      <w:rFonts w:ascii="Times New Roman" w:eastAsia="Times New Roman" w:hAnsi="Times New Roman" w:cs="Times New Roman"/>
      <w:sz w:val="20"/>
      <w:szCs w:val="20"/>
      <w:lang w:eastAsia="fr-FR"/>
    </w:rPr>
  </w:style>
  <w:style w:type="character" w:customStyle="1" w:styleId="NotedebasdepageCar">
    <w:name w:val="Note de bas de page Car"/>
    <w:basedOn w:val="Policepardfaut"/>
    <w:link w:val="Notedebasdepage"/>
    <w:uiPriority w:val="99"/>
    <w:rsid w:val="00070E5D"/>
    <w:rPr>
      <w:rFonts w:ascii="Times New Roman" w:eastAsia="Times New Roman" w:hAnsi="Times New Roman" w:cs="Times New Roman"/>
      <w:sz w:val="20"/>
      <w:szCs w:val="20"/>
      <w:lang w:eastAsia="fr-FR"/>
    </w:rPr>
  </w:style>
  <w:style w:type="character" w:styleId="Appelnotedebasdep">
    <w:name w:val="footnote reference"/>
    <w:basedOn w:val="Policepardfaut"/>
    <w:uiPriority w:val="99"/>
    <w:rsid w:val="00070E5D"/>
    <w:rPr>
      <w:vertAlign w:val="superscript"/>
    </w:rPr>
  </w:style>
  <w:style w:type="paragraph" w:customStyle="1" w:styleId="Blocdecitation">
    <w:name w:val="Bloc de citation"/>
    <w:basedOn w:val="Corpsdetexte"/>
    <w:rsid w:val="00070E5D"/>
    <w:pPr>
      <w:keepLines/>
      <w:pBdr>
        <w:left w:val="single" w:sz="36" w:space="3" w:color="808080"/>
        <w:bottom w:val="single" w:sz="48" w:space="3" w:color="FFFFFF"/>
      </w:pBdr>
      <w:spacing w:after="60" w:line="220" w:lineRule="atLeast"/>
      <w:ind w:left="1440" w:right="720"/>
    </w:pPr>
    <w:rPr>
      <w:rFonts w:ascii="Times New Roman" w:eastAsia="Times New Roman" w:hAnsi="Times New Roman" w:cs="Times New Roman"/>
      <w:i/>
      <w:sz w:val="20"/>
      <w:szCs w:val="20"/>
      <w:lang w:eastAsia="fr-FR"/>
    </w:rPr>
  </w:style>
  <w:style w:type="character" w:customStyle="1" w:styleId="Livretpdagogiquetitre1Car">
    <w:name w:val="Livret pédagogique : titre 1 Car"/>
    <w:rsid w:val="00070E5D"/>
    <w:rPr>
      <w:rFonts w:ascii="Arial" w:eastAsia="华文新魏" w:hAnsi="Arial" w:cs="Arial"/>
      <w:b/>
      <w:bCs/>
      <w:color w:val="000000"/>
      <w:sz w:val="28"/>
      <w:szCs w:val="32"/>
      <w:u w:val="single"/>
    </w:rPr>
  </w:style>
  <w:style w:type="paragraph" w:customStyle="1" w:styleId="contenutexte">
    <w:name w:val="contenu texte"/>
    <w:basedOn w:val="Normal"/>
    <w:rsid w:val="00070E5D"/>
    <w:pPr>
      <w:widowControl w:val="0"/>
      <w:suppressAutoHyphens/>
      <w:spacing w:after="0" w:line="240" w:lineRule="auto"/>
    </w:pPr>
    <w:rPr>
      <w:rFonts w:ascii="Arial" w:eastAsia="华文新魏" w:hAnsi="Arial" w:cs="Arial"/>
      <w:kern w:val="1"/>
      <w:sz w:val="21"/>
      <w:szCs w:val="24"/>
      <w:lang w:val="en-US" w:eastAsia="zh-CN"/>
    </w:rPr>
  </w:style>
  <w:style w:type="character" w:customStyle="1" w:styleId="Titre4Car">
    <w:name w:val="Titre 4 Car"/>
    <w:basedOn w:val="Policepardfaut"/>
    <w:link w:val="Titre4"/>
    <w:uiPriority w:val="9"/>
    <w:semiHidden/>
    <w:rsid w:val="001359C1"/>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964635">
      <w:bodyDiv w:val="1"/>
      <w:marLeft w:val="0"/>
      <w:marRight w:val="0"/>
      <w:marTop w:val="0"/>
      <w:marBottom w:val="0"/>
      <w:divBdr>
        <w:top w:val="none" w:sz="0" w:space="0" w:color="auto"/>
        <w:left w:val="none" w:sz="0" w:space="0" w:color="auto"/>
        <w:bottom w:val="none" w:sz="0" w:space="0" w:color="auto"/>
        <w:right w:val="none" w:sz="0" w:space="0" w:color="auto"/>
      </w:divBdr>
    </w:div>
    <w:div w:id="985357853">
      <w:bodyDiv w:val="1"/>
      <w:marLeft w:val="0"/>
      <w:marRight w:val="0"/>
      <w:marTop w:val="0"/>
      <w:marBottom w:val="0"/>
      <w:divBdr>
        <w:top w:val="none" w:sz="0" w:space="0" w:color="auto"/>
        <w:left w:val="none" w:sz="0" w:space="0" w:color="auto"/>
        <w:bottom w:val="none" w:sz="0" w:space="0" w:color="auto"/>
        <w:right w:val="none" w:sz="0" w:space="0" w:color="auto"/>
      </w:divBdr>
    </w:div>
    <w:div w:id="1529489660">
      <w:bodyDiv w:val="1"/>
      <w:marLeft w:val="0"/>
      <w:marRight w:val="0"/>
      <w:marTop w:val="0"/>
      <w:marBottom w:val="0"/>
      <w:divBdr>
        <w:top w:val="none" w:sz="0" w:space="0" w:color="auto"/>
        <w:left w:val="none" w:sz="0" w:space="0" w:color="auto"/>
        <w:bottom w:val="none" w:sz="0" w:space="0" w:color="auto"/>
        <w:right w:val="none" w:sz="0" w:space="0" w:color="auto"/>
      </w:divBdr>
    </w:div>
    <w:div w:id="1873805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conomix.fr/fr/axes/dir/" TargetMode="External"/><Relationship Id="rId18" Type="http://schemas.openxmlformats.org/officeDocument/2006/relationships/hyperlink" Target="http://www.kernbureau.uva.nl/acle/home.cfm" TargetMode="External"/><Relationship Id="rId26" Type="http://schemas.openxmlformats.org/officeDocument/2006/relationships/hyperlink" Target="mailto:acosnita@u-paris10.fr" TargetMode="External"/><Relationship Id="rId39" Type="http://schemas.openxmlformats.org/officeDocument/2006/relationships/hyperlink" Target="mailto:etienne.pfister@autoritedelaconcurrence.fr" TargetMode="External"/><Relationship Id="rId21" Type="http://schemas.openxmlformats.org/officeDocument/2006/relationships/hyperlink" Target="http://www.bristol.ac.uk/cmpo/" TargetMode="External"/><Relationship Id="rId34" Type="http://schemas.openxmlformats.org/officeDocument/2006/relationships/hyperlink" Target="mailto:lauren.leblond@hotmail.fr" TargetMode="External"/><Relationship Id="rId42" Type="http://schemas.openxmlformats.org/officeDocument/2006/relationships/hyperlink" Target="http://www.lecercledeseconomistes.asso.fr/perrot" TargetMode="External"/><Relationship Id="rId47" Type="http://schemas.openxmlformats.org/officeDocument/2006/relationships/hyperlink" Target="http://ec.europa.eu/comm/competition/index_en.html" TargetMode="External"/><Relationship Id="rId50" Type="http://schemas.openxmlformats.org/officeDocument/2006/relationships/hyperlink" Target="http://www.amazon.com/In%C3%A9s-Macho-Stadler/e/B001IU2IC4/ref=dp_byline_cont_book_1" TargetMode="External"/><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emf"/><Relationship Id="rId25" Type="http://schemas.openxmlformats.org/officeDocument/2006/relationships/hyperlink" Target="mailto:Marc.Baudry@u-paris10.fr" TargetMode="External"/><Relationship Id="rId33" Type="http://schemas.openxmlformats.org/officeDocument/2006/relationships/hyperlink" Target="mailto:folliot_lalliot@yahoo.fr" TargetMode="External"/><Relationship Id="rId38" Type="http://schemas.openxmlformats.org/officeDocument/2006/relationships/hyperlink" Target="mailto:beatrice.dumont@univ-paris13.fr" TargetMode="External"/><Relationship Id="rId46" Type="http://schemas.openxmlformats.org/officeDocument/2006/relationships/hyperlink" Target="http://www.microeconomix.fr/l-equipe"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competitionpolicy.ac.uk/" TargetMode="External"/><Relationship Id="rId29" Type="http://schemas.openxmlformats.org/officeDocument/2006/relationships/hyperlink" Target="mailto:Said.Souam@ensae.fr" TargetMode="External"/><Relationship Id="rId41" Type="http://schemas.openxmlformats.org/officeDocument/2006/relationships/hyperlink" Target="mailto:aperrot@mapp.economics.com" TargetMode="External"/><Relationship Id="rId54" Type="http://schemas.openxmlformats.org/officeDocument/2006/relationships/hyperlink" Target="http://www.inforule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lisack.vannavong@u-paris10.fr" TargetMode="External"/><Relationship Id="rId24" Type="http://schemas.openxmlformats.org/officeDocument/2006/relationships/hyperlink" Target="http://www.tilburguniversity.edu/research/institutes-and-research-groups/tilec/" TargetMode="External"/><Relationship Id="rId32" Type="http://schemas.openxmlformats.org/officeDocument/2006/relationships/hyperlink" Target="mailto:dbarthe.bis@gmail.com" TargetMode="External"/><Relationship Id="rId37" Type="http://schemas.openxmlformats.org/officeDocument/2006/relationships/hyperlink" Target="mailto:areygrobellet@u-paris10.fr" TargetMode="External"/><Relationship Id="rId40" Type="http://schemas.openxmlformats.org/officeDocument/2006/relationships/hyperlink" Target="http://www.concurrences.com/auteur/Etienne-Pfister?lang=en" TargetMode="External"/><Relationship Id="rId45" Type="http://schemas.openxmlformats.org/officeDocument/2006/relationships/hyperlink" Target="mailto:olivier.sautel@microeconomix.com" TargetMode="External"/><Relationship Id="rId53" Type="http://schemas.openxmlformats.org/officeDocument/2006/relationships/hyperlink" Target="http://www.sims.berkeley.edu/%7Ehal/"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www.eui.eu/DepartmentsAndCentres/RobertSchumanCentre/Index.aspx" TargetMode="External"/><Relationship Id="rId28" Type="http://schemas.openxmlformats.org/officeDocument/2006/relationships/hyperlink" Target="mailto:Eric.Langlais@u-paris10.fr" TargetMode="External"/><Relationship Id="rId36" Type="http://schemas.openxmlformats.org/officeDocument/2006/relationships/hyperlink" Target="mailto:valerie.nicolas12@gmail.com" TargetMode="External"/><Relationship Id="rId49" Type="http://schemas.openxmlformats.org/officeDocument/2006/relationships/hyperlink" Target="http://mitpress.mit.edu/catalog/item/default.asp?sid=464EB469-6AA3-4500-A12B-F7239E65C798&amp;ttype=2&amp;tid=3935&amp;xid=4&amp;xcid=0" TargetMode="External"/><Relationship Id="rId57" Type="http://schemas.openxmlformats.org/officeDocument/2006/relationships/theme" Target="theme/theme1.xml"/><Relationship Id="rId10" Type="http://schemas.openxmlformats.org/officeDocument/2006/relationships/hyperlink" Target="mailto:Eric.Langlais@u-paris10.fr" TargetMode="External"/><Relationship Id="rId19" Type="http://schemas.openxmlformats.org/officeDocument/2006/relationships/hyperlink" Target="http://www.ijc.hu/" TargetMode="External"/><Relationship Id="rId31" Type="http://schemas.openxmlformats.org/officeDocument/2006/relationships/hyperlink" Target="mailto:mzouikri@u-paris10.fr" TargetMode="External"/><Relationship Id="rId44" Type="http://schemas.openxmlformats.org/officeDocument/2006/relationships/hyperlink" Target="http://www.ieje.net/" TargetMode="External"/><Relationship Id="rId52" Type="http://schemas.openxmlformats.org/officeDocument/2006/relationships/hyperlink" Target="http://www.amazon.com/s/ref=dp_byline_sr_book_3?ie=UTF8&amp;field-author=Richard+Watt&amp;search-alias=books&amp;text=Richard+Watt&amp;sort=relevanceran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www.coll.mpg.de/" TargetMode="External"/><Relationship Id="rId27" Type="http://schemas.openxmlformats.org/officeDocument/2006/relationships/hyperlink" Target="mailto:ebadaoui@u-paris10.fr" TargetMode="External"/><Relationship Id="rId30" Type="http://schemas.openxmlformats.org/officeDocument/2006/relationships/hyperlink" Target="mailto:alessandro.melcarne@unito.it" TargetMode="External"/><Relationship Id="rId35" Type="http://schemas.openxmlformats.org/officeDocument/2006/relationships/hyperlink" Target="mailto:muller.yvonne@orange.fr" TargetMode="External"/><Relationship Id="rId43" Type="http://schemas.openxmlformats.org/officeDocument/2006/relationships/hyperlink" Target="mailto:nicolas.petit@ulg.ac.be" TargetMode="External"/><Relationship Id="rId48" Type="http://schemas.openxmlformats.org/officeDocument/2006/relationships/hyperlink" Target="http://mitpress.mit.edu/catalog/item/default.asp?sid=464EB469-6AA3-4500-A12B-F7239E65C798&amp;ttype=2&amp;tid=3935&amp;xid=4&amp;xcid=0" TargetMode="External"/><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www.amazon.com/s/ref=dp_byline_sr_book_2?ie=UTF8&amp;field-author=J.+David+P%C3%A9rez-Castrillo&amp;search-alias=books&amp;text=J.+David+P%C3%A9rez-Castrillo&amp;sort=relevancerank" TargetMode="External"/><Relationship Id="rId3"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B2A3D-41C1-42F0-8FF2-1962EEE78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12713</Words>
  <Characters>69926</Characters>
  <Application>Microsoft Office Word</Application>
  <DocSecurity>0</DocSecurity>
  <Lines>582</Lines>
  <Paragraphs>164</Paragraphs>
  <ScaleCrop>false</ScaleCrop>
  <HeadingPairs>
    <vt:vector size="2" baseType="variant">
      <vt:variant>
        <vt:lpstr>Titre</vt:lpstr>
      </vt:variant>
      <vt:variant>
        <vt:i4>1</vt:i4>
      </vt:variant>
    </vt:vector>
  </HeadingPairs>
  <TitlesOfParts>
    <vt:vector size="1" baseType="lpstr">
      <vt:lpstr/>
    </vt:vector>
  </TitlesOfParts>
  <Company>EconomiX</Company>
  <LinksUpToDate>false</LinksUpToDate>
  <CharactersWithSpaces>82475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LANGLAIS</dc:creator>
  <cp:lastModifiedBy>Estriplet Libny</cp:lastModifiedBy>
  <cp:revision>2</cp:revision>
  <cp:lastPrinted>2015-08-18T08:00:00Z</cp:lastPrinted>
  <dcterms:created xsi:type="dcterms:W3CDTF">2016-06-23T10:53:00Z</dcterms:created>
  <dcterms:modified xsi:type="dcterms:W3CDTF">2016-06-23T10:53:00Z</dcterms:modified>
</cp:coreProperties>
</file>